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Ansi="黑体" w:eastAsia="黑体"/>
          <w:b/>
          <w:sz w:val="44"/>
          <w:szCs w:val="44"/>
        </w:rPr>
      </w:pPr>
      <w:r>
        <w:rPr>
          <w:rFonts w:hAnsi="黑体" w:eastAsia="黑体"/>
          <w:b/>
          <w:sz w:val="44"/>
          <w:szCs w:val="44"/>
        </w:rPr>
        <w:t>农学院</w:t>
      </w:r>
      <w:r>
        <w:rPr>
          <w:rFonts w:eastAsia="黑体"/>
          <w:b/>
          <w:sz w:val="44"/>
          <w:szCs w:val="44"/>
        </w:rPr>
        <w:t>201</w:t>
      </w:r>
      <w:r>
        <w:rPr>
          <w:rFonts w:hint="eastAsia" w:eastAsia="黑体"/>
          <w:b/>
          <w:sz w:val="44"/>
          <w:szCs w:val="44"/>
        </w:rPr>
        <w:t>8</w:t>
      </w:r>
      <w:r>
        <w:rPr>
          <w:rFonts w:eastAsia="黑体"/>
          <w:b/>
          <w:sz w:val="44"/>
          <w:szCs w:val="44"/>
        </w:rPr>
        <w:t>—201</w:t>
      </w:r>
      <w:r>
        <w:rPr>
          <w:rFonts w:hint="eastAsia" w:eastAsia="黑体"/>
          <w:b/>
          <w:sz w:val="44"/>
          <w:szCs w:val="44"/>
        </w:rPr>
        <w:t>9</w:t>
      </w:r>
      <w:r>
        <w:rPr>
          <w:rFonts w:hAnsi="黑体" w:eastAsia="黑体"/>
          <w:b/>
          <w:sz w:val="44"/>
          <w:szCs w:val="44"/>
        </w:rPr>
        <w:t>学年</w:t>
      </w:r>
      <w:r>
        <w:rPr>
          <w:rFonts w:hint="eastAsia" w:hAnsi="黑体" w:eastAsia="黑体"/>
          <w:b/>
          <w:sz w:val="44"/>
          <w:szCs w:val="44"/>
        </w:rPr>
        <w:t>学生</w:t>
      </w:r>
      <w:r>
        <w:rPr>
          <w:rFonts w:hAnsi="黑体" w:eastAsia="黑体"/>
          <w:b/>
          <w:sz w:val="44"/>
          <w:szCs w:val="44"/>
        </w:rPr>
        <w:t>综合素质测评</w:t>
      </w:r>
    </w:p>
    <w:p>
      <w:pPr>
        <w:spacing w:line="276" w:lineRule="auto"/>
        <w:jc w:val="center"/>
        <w:rPr>
          <w:rFonts w:eastAsia="黑体"/>
          <w:b/>
          <w:sz w:val="44"/>
          <w:szCs w:val="44"/>
        </w:rPr>
      </w:pPr>
      <w:r>
        <w:rPr>
          <w:rFonts w:hAnsi="黑体" w:eastAsia="黑体"/>
          <w:b/>
          <w:sz w:val="44"/>
          <w:szCs w:val="44"/>
        </w:rPr>
        <w:t>实施细则</w:t>
      </w:r>
    </w:p>
    <w:p>
      <w:pPr>
        <w:spacing w:line="520" w:lineRule="exact"/>
        <w:rPr>
          <w:rFonts w:ascii="仿宋_GB2312" w:eastAsia="仿宋_GB2312"/>
          <w:color w:val="000000"/>
          <w:sz w:val="28"/>
          <w:szCs w:val="28"/>
        </w:rPr>
      </w:pP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为</w:t>
      </w:r>
      <w:r>
        <w:rPr>
          <w:rFonts w:hint="eastAsia" w:ascii="仿宋" w:hAnsi="仿宋" w:eastAsia="仿宋" w:cs="仿宋"/>
          <w:color w:val="000000"/>
          <w:sz w:val="28"/>
          <w:szCs w:val="28"/>
          <w:lang w:eastAsia="zh-CN"/>
        </w:rPr>
        <w:t>了</w:t>
      </w:r>
      <w:bookmarkStart w:id="0" w:name="_GoBack"/>
      <w:bookmarkEnd w:id="0"/>
      <w:r>
        <w:rPr>
          <w:rFonts w:hint="eastAsia" w:ascii="仿宋" w:hAnsi="仿宋" w:eastAsia="仿宋" w:cs="仿宋"/>
          <w:color w:val="000000"/>
          <w:sz w:val="28"/>
          <w:szCs w:val="28"/>
        </w:rPr>
        <w:t>做好我院2018-2019学年学生综合素质测评工作，根据《西北农林科技大学学生综合素质测评实施意见》（校学发[2017]33号）及《关于各学院（系）制定学生综合素质测评细则的指导性意见》等文件精神，结合我院学生实际，特制订本细则。</w:t>
      </w:r>
    </w:p>
    <w:p>
      <w:pPr>
        <w:spacing w:line="560" w:lineRule="exact"/>
        <w:ind w:firstLine="562" w:firstLineChars="200"/>
        <w:rPr>
          <w:rFonts w:ascii="仿宋" w:hAnsi="仿宋" w:eastAsia="仿宋" w:cs="仿宋"/>
          <w:b/>
          <w:color w:val="000000"/>
          <w:sz w:val="28"/>
          <w:szCs w:val="28"/>
        </w:rPr>
      </w:pPr>
      <w:r>
        <w:rPr>
          <w:rFonts w:hint="eastAsia" w:ascii="仿宋" w:hAnsi="仿宋" w:eastAsia="仿宋" w:cs="仿宋"/>
          <w:b/>
          <w:color w:val="000000"/>
          <w:sz w:val="28"/>
          <w:szCs w:val="28"/>
        </w:rPr>
        <w:t>一、综合素质测评工作组织机构</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（一）学生综合素质测评领导小组</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组  长：吴清华</w:t>
      </w:r>
    </w:p>
    <w:p>
      <w:pPr>
        <w:spacing w:line="560" w:lineRule="exact"/>
        <w:ind w:left="1959" w:leftChars="266" w:hanging="1400" w:hangingChars="500"/>
        <w:rPr>
          <w:rFonts w:ascii="仿宋" w:hAnsi="仿宋" w:eastAsia="仿宋" w:cs="仿宋"/>
          <w:color w:val="000000"/>
          <w:sz w:val="28"/>
          <w:szCs w:val="28"/>
        </w:rPr>
      </w:pPr>
      <w:r>
        <w:rPr>
          <w:rFonts w:hint="eastAsia" w:ascii="仿宋" w:hAnsi="仿宋" w:eastAsia="仿宋" w:cs="仿宋"/>
          <w:color w:val="000000"/>
          <w:sz w:val="28"/>
          <w:szCs w:val="28"/>
        </w:rPr>
        <w:t>成  员：梁子龙   夏可阳   沙影   帕尔哈提·买明   康霓</w:t>
      </w:r>
    </w:p>
    <w:p>
      <w:pPr>
        <w:spacing w:line="560" w:lineRule="exact"/>
        <w:ind w:left="1956" w:leftChars="798" w:hanging="280" w:hangingChars="100"/>
        <w:rPr>
          <w:rFonts w:ascii="仿宋" w:hAnsi="仿宋" w:eastAsia="仿宋" w:cs="仿宋"/>
          <w:color w:val="000000"/>
          <w:sz w:val="28"/>
          <w:szCs w:val="28"/>
        </w:rPr>
      </w:pPr>
      <w:r>
        <w:rPr>
          <w:rFonts w:hint="eastAsia" w:ascii="仿宋" w:hAnsi="仿宋" w:eastAsia="仿宋" w:cs="仿宋"/>
          <w:color w:val="000000"/>
          <w:sz w:val="28"/>
          <w:szCs w:val="28"/>
        </w:rPr>
        <w:t xml:space="preserve">各年级班主任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分团委学生会主席团成员</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（二）</w:t>
      </w:r>
      <w:r>
        <w:rPr>
          <w:rFonts w:hint="eastAsia" w:ascii="仿宋" w:hAnsi="仿宋" w:eastAsia="仿宋" w:cs="仿宋"/>
          <w:color w:val="000000"/>
          <w:sz w:val="28"/>
          <w:szCs w:val="28"/>
          <w:lang w:eastAsia="zh-CN"/>
        </w:rPr>
        <w:t>学生</w:t>
      </w:r>
      <w:r>
        <w:rPr>
          <w:rFonts w:hint="eastAsia" w:ascii="仿宋" w:hAnsi="仿宋" w:eastAsia="仿宋" w:cs="仿宋"/>
          <w:color w:val="000000"/>
          <w:sz w:val="28"/>
          <w:szCs w:val="28"/>
        </w:rPr>
        <w:t>综合素质测评工作组</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组  长：沙影   帕尔哈提·买明   康霓</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成  员：班长、团支书，各班班委会和团支部成员代表2名，</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 xml:space="preserve">        各班民选非学生干部代表1名</w:t>
      </w:r>
    </w:p>
    <w:p>
      <w:pPr>
        <w:spacing w:line="560" w:lineRule="exact"/>
        <w:ind w:firstLine="562" w:firstLineChars="200"/>
        <w:rPr>
          <w:rFonts w:ascii="仿宋" w:hAnsi="仿宋" w:eastAsia="仿宋" w:cs="仿宋"/>
          <w:b/>
          <w:color w:val="000000"/>
          <w:sz w:val="28"/>
          <w:szCs w:val="28"/>
        </w:rPr>
      </w:pPr>
      <w:r>
        <w:rPr>
          <w:rFonts w:hint="eastAsia" w:ascii="仿宋" w:hAnsi="仿宋" w:eastAsia="仿宋" w:cs="仿宋"/>
          <w:b/>
          <w:color w:val="000000"/>
          <w:sz w:val="28"/>
          <w:szCs w:val="28"/>
        </w:rPr>
        <w:t>二、综合</w:t>
      </w:r>
      <w:r>
        <w:rPr>
          <w:rFonts w:hint="eastAsia" w:ascii="仿宋" w:hAnsi="仿宋" w:eastAsia="仿宋" w:cs="仿宋"/>
          <w:b/>
          <w:color w:val="000000"/>
          <w:sz w:val="28"/>
          <w:szCs w:val="28"/>
          <w:lang w:eastAsia="zh-CN"/>
        </w:rPr>
        <w:t>素质</w:t>
      </w:r>
      <w:r>
        <w:rPr>
          <w:rFonts w:hint="eastAsia" w:ascii="仿宋" w:hAnsi="仿宋" w:eastAsia="仿宋" w:cs="仿宋"/>
          <w:b/>
          <w:color w:val="000000"/>
          <w:sz w:val="28"/>
          <w:szCs w:val="28"/>
        </w:rPr>
        <w:t>测评内容和计分标准</w:t>
      </w:r>
    </w:p>
    <w:p>
      <w:pPr>
        <w:spacing w:line="560" w:lineRule="exact"/>
        <w:ind w:firstLine="562" w:firstLineChars="200"/>
        <w:rPr>
          <w:rFonts w:ascii="仿宋" w:hAnsi="仿宋" w:eastAsia="仿宋" w:cs="仿宋"/>
          <w:b/>
          <w:color w:val="000000"/>
          <w:sz w:val="28"/>
          <w:szCs w:val="28"/>
        </w:rPr>
      </w:pPr>
      <w:r>
        <w:rPr>
          <w:rFonts w:hint="eastAsia" w:ascii="仿宋" w:hAnsi="仿宋" w:eastAsia="仿宋" w:cs="仿宋"/>
          <w:b/>
          <w:color w:val="000000"/>
          <w:sz w:val="28"/>
          <w:szCs w:val="28"/>
        </w:rPr>
        <w:t>（一）德育（满分10分）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德育成绩由基准分和加减分项二部分组成。</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1.基准分（满分7分）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（1）坚持社会主义政治方向，拥护中国共产党的领导和党的基本路线、方针、政策，记0.5分。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（2）关心国家大事，明辨是非，具有坚定的政治立场，记0.5分。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（3）顾全大局，关心集体，能正确处理个人、集体与社会的关系，记0.5分。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（4）注意提高个人品德修养，诚实守信，尊敬师长，团结同学，记0.5分。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（5）提升思想政治修养，能积极参加马列自主学习计划、理论社团、党团组织生活、社会主义核心价值观主题教育，记1分，评分标准如下：</w:t>
      </w:r>
    </w:p>
    <w:p>
      <w:pPr>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①制定马列自</w:t>
      </w:r>
      <w:r>
        <w:rPr>
          <w:rFonts w:hint="eastAsia" w:ascii="仿宋" w:hAnsi="仿宋" w:eastAsia="仿宋" w:cs="仿宋"/>
          <w:sz w:val="28"/>
          <w:szCs w:val="28"/>
        </w:rPr>
        <w:t>主学习计划，阅读马列经典书籍，并撰写读书笔记，经团支部评审为优秀的每篇</w:t>
      </w:r>
      <w:r>
        <w:rPr>
          <w:rFonts w:hint="eastAsia" w:ascii="仿宋" w:hAnsi="仿宋" w:eastAsia="仿宋" w:cs="仿宋"/>
          <w:color w:val="000000"/>
          <w:sz w:val="28"/>
          <w:szCs w:val="28"/>
        </w:rPr>
        <w:t>记</w:t>
      </w:r>
      <w:r>
        <w:rPr>
          <w:rFonts w:hint="eastAsia" w:ascii="仿宋" w:hAnsi="仿宋" w:eastAsia="仿宋" w:cs="仿宋"/>
          <w:sz w:val="28"/>
          <w:szCs w:val="28"/>
        </w:rPr>
        <w:t>0.05分，上限0.3分。</w:t>
      </w:r>
    </w:p>
    <w:p>
      <w:pPr>
        <w:spacing w:line="560" w:lineRule="exact"/>
        <w:ind w:left="849" w:leftChars="267" w:hanging="288" w:hangingChars="103"/>
        <w:rPr>
          <w:rFonts w:ascii="仿宋" w:hAnsi="仿宋" w:eastAsia="仿宋" w:cs="仿宋"/>
          <w:sz w:val="28"/>
          <w:szCs w:val="28"/>
        </w:rPr>
      </w:pPr>
      <w:r>
        <w:rPr>
          <w:rFonts w:hint="eastAsia" w:ascii="仿宋" w:hAnsi="仿宋" w:eastAsia="仿宋" w:cs="仿宋"/>
          <w:sz w:val="28"/>
          <w:szCs w:val="28"/>
        </w:rPr>
        <w:t>②参加青年马克思主义研习社等理论社团活动，每次</w:t>
      </w:r>
      <w:r>
        <w:rPr>
          <w:rFonts w:hint="eastAsia" w:ascii="仿宋" w:hAnsi="仿宋" w:eastAsia="仿宋" w:cs="仿宋"/>
          <w:color w:val="000000"/>
          <w:sz w:val="28"/>
          <w:szCs w:val="28"/>
        </w:rPr>
        <w:t>记</w:t>
      </w:r>
      <w:r>
        <w:rPr>
          <w:rFonts w:hint="eastAsia" w:ascii="仿宋" w:hAnsi="仿宋" w:eastAsia="仿宋" w:cs="仿宋"/>
          <w:sz w:val="28"/>
          <w:szCs w:val="28"/>
        </w:rPr>
        <w:t>0.1分。</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③积极参加社会主义核心价值观主题班会及团组织生活，每次</w:t>
      </w:r>
      <w:r>
        <w:rPr>
          <w:rFonts w:hint="eastAsia" w:ascii="仿宋" w:hAnsi="仿宋" w:eastAsia="仿宋" w:cs="仿宋"/>
          <w:color w:val="000000"/>
          <w:sz w:val="28"/>
          <w:szCs w:val="28"/>
        </w:rPr>
        <w:t>记</w:t>
      </w:r>
      <w:r>
        <w:rPr>
          <w:rFonts w:hint="eastAsia" w:ascii="仿宋" w:hAnsi="仿宋" w:eastAsia="仿宋" w:cs="仿宋"/>
          <w:sz w:val="28"/>
          <w:szCs w:val="28"/>
        </w:rPr>
        <w:t>0.1分（以班级团支书统计为准）。</w:t>
      </w:r>
    </w:p>
    <w:p>
      <w:pPr>
        <w:spacing w:line="560" w:lineRule="exact"/>
        <w:ind w:firstLine="560" w:firstLineChars="200"/>
        <w:rPr>
          <w:rFonts w:ascii="仿宋" w:hAnsi="仿宋" w:eastAsia="仿宋" w:cs="仿宋"/>
          <w:sz w:val="28"/>
          <w:szCs w:val="28"/>
          <w:shd w:val="pct10" w:color="auto" w:fill="FFFFFF"/>
        </w:rPr>
      </w:pPr>
      <w:r>
        <w:rPr>
          <w:rFonts w:hint="eastAsia" w:ascii="仿宋" w:hAnsi="仿宋" w:eastAsia="仿宋" w:cs="仿宋"/>
          <w:sz w:val="28"/>
          <w:szCs w:val="28"/>
        </w:rPr>
        <w:t>（6）能积极参加义务助教、献爱心等社会公益活动，</w:t>
      </w:r>
      <w:r>
        <w:rPr>
          <w:rFonts w:hint="eastAsia" w:ascii="仿宋" w:hAnsi="仿宋" w:eastAsia="仿宋" w:cs="仿宋"/>
          <w:color w:val="000000"/>
          <w:sz w:val="28"/>
          <w:szCs w:val="28"/>
        </w:rPr>
        <w:t>记</w:t>
      </w:r>
      <w:r>
        <w:rPr>
          <w:rFonts w:hint="eastAsia" w:ascii="仿宋" w:hAnsi="仿宋" w:eastAsia="仿宋" w:cs="仿宋"/>
          <w:sz w:val="28"/>
          <w:szCs w:val="28"/>
        </w:rPr>
        <w:t>1分。评分标准如下：</w:t>
      </w:r>
    </w:p>
    <w:p>
      <w:pPr>
        <w:spacing w:line="560" w:lineRule="exact"/>
        <w:ind w:left="849" w:leftChars="267" w:hanging="288" w:hangingChars="103"/>
        <w:rPr>
          <w:rFonts w:ascii="仿宋" w:hAnsi="仿宋" w:eastAsia="仿宋" w:cs="仿宋"/>
          <w:sz w:val="28"/>
          <w:szCs w:val="28"/>
        </w:rPr>
      </w:pPr>
      <w:r>
        <w:rPr>
          <w:rFonts w:hint="eastAsia" w:ascii="仿宋" w:hAnsi="仿宋" w:eastAsia="仿宋" w:cs="仿宋"/>
          <w:sz w:val="28"/>
          <w:szCs w:val="28"/>
        </w:rPr>
        <w:t>①参与支教活动每次</w:t>
      </w:r>
      <w:r>
        <w:rPr>
          <w:rFonts w:hint="eastAsia" w:ascii="仿宋" w:hAnsi="仿宋" w:eastAsia="仿宋" w:cs="仿宋"/>
          <w:color w:val="000000"/>
          <w:sz w:val="28"/>
          <w:szCs w:val="28"/>
        </w:rPr>
        <w:t>记</w:t>
      </w:r>
      <w:r>
        <w:rPr>
          <w:rFonts w:hint="eastAsia" w:ascii="仿宋" w:hAnsi="仿宋" w:eastAsia="仿宋" w:cs="仿宋"/>
          <w:sz w:val="28"/>
          <w:szCs w:val="28"/>
        </w:rPr>
        <w:t>0.05分，上限0.2分。</w:t>
      </w:r>
    </w:p>
    <w:p>
      <w:pPr>
        <w:spacing w:line="560" w:lineRule="exact"/>
        <w:ind w:left="849" w:leftChars="267" w:hanging="288" w:hangingChars="103"/>
        <w:rPr>
          <w:rFonts w:ascii="仿宋" w:hAnsi="仿宋" w:eastAsia="仿宋" w:cs="仿宋"/>
          <w:sz w:val="28"/>
          <w:szCs w:val="28"/>
        </w:rPr>
      </w:pPr>
      <w:r>
        <w:rPr>
          <w:rFonts w:hint="eastAsia" w:ascii="仿宋" w:hAnsi="仿宋" w:eastAsia="仿宋" w:cs="仿宋"/>
          <w:sz w:val="28"/>
          <w:szCs w:val="28"/>
        </w:rPr>
        <w:t>②参加农高会志愿者</w:t>
      </w:r>
      <w:r>
        <w:rPr>
          <w:rFonts w:hint="eastAsia" w:ascii="仿宋" w:hAnsi="仿宋" w:eastAsia="仿宋" w:cs="仿宋"/>
          <w:color w:val="000000"/>
          <w:sz w:val="28"/>
          <w:szCs w:val="28"/>
        </w:rPr>
        <w:t>记</w:t>
      </w:r>
      <w:r>
        <w:rPr>
          <w:rFonts w:hint="eastAsia" w:ascii="仿宋" w:hAnsi="仿宋" w:eastAsia="仿宋" w:cs="仿宋"/>
          <w:sz w:val="28"/>
          <w:szCs w:val="28"/>
        </w:rPr>
        <w:t>0.3分，获优秀志愿者称号或先进个人者另</w:t>
      </w:r>
      <w:r>
        <w:rPr>
          <w:rFonts w:hint="eastAsia" w:ascii="仿宋" w:hAnsi="仿宋" w:eastAsia="仿宋" w:cs="仿宋"/>
          <w:color w:val="000000"/>
          <w:sz w:val="28"/>
          <w:szCs w:val="28"/>
        </w:rPr>
        <w:t>记</w:t>
      </w:r>
      <w:r>
        <w:rPr>
          <w:rFonts w:hint="eastAsia" w:ascii="仿宋" w:hAnsi="仿宋" w:eastAsia="仿宋" w:cs="仿宋"/>
          <w:sz w:val="28"/>
          <w:szCs w:val="28"/>
        </w:rPr>
        <w:t>0.1分；杨凌国际马拉松志愿者</w:t>
      </w:r>
      <w:r>
        <w:rPr>
          <w:rFonts w:hint="eastAsia" w:ascii="仿宋" w:hAnsi="仿宋" w:eastAsia="仿宋" w:cs="仿宋"/>
          <w:color w:val="000000"/>
          <w:sz w:val="28"/>
          <w:szCs w:val="28"/>
        </w:rPr>
        <w:t>记</w:t>
      </w:r>
      <w:r>
        <w:rPr>
          <w:rFonts w:hint="eastAsia" w:ascii="仿宋" w:hAnsi="仿宋" w:eastAsia="仿宋" w:cs="仿宋"/>
          <w:sz w:val="28"/>
          <w:szCs w:val="28"/>
        </w:rPr>
        <w:t>0.3分，获优秀志愿者称号的另</w:t>
      </w:r>
      <w:r>
        <w:rPr>
          <w:rFonts w:hint="eastAsia" w:ascii="仿宋" w:hAnsi="仿宋" w:eastAsia="仿宋" w:cs="仿宋"/>
          <w:color w:val="000000"/>
          <w:sz w:val="28"/>
          <w:szCs w:val="28"/>
        </w:rPr>
        <w:t>记</w:t>
      </w:r>
      <w:r>
        <w:rPr>
          <w:rFonts w:hint="eastAsia" w:ascii="仿宋" w:hAnsi="仿宋" w:eastAsia="仿宋" w:cs="仿宋"/>
          <w:sz w:val="28"/>
          <w:szCs w:val="28"/>
        </w:rPr>
        <w:t>0.1分；校园招聘会志愿者</w:t>
      </w:r>
      <w:r>
        <w:rPr>
          <w:rFonts w:hint="eastAsia" w:ascii="仿宋" w:hAnsi="仿宋" w:eastAsia="仿宋" w:cs="仿宋"/>
          <w:color w:val="000000"/>
          <w:sz w:val="28"/>
          <w:szCs w:val="28"/>
        </w:rPr>
        <w:t>记</w:t>
      </w:r>
      <w:r>
        <w:rPr>
          <w:rFonts w:hint="eastAsia" w:ascii="仿宋" w:hAnsi="仿宋" w:eastAsia="仿宋" w:cs="仿宋"/>
          <w:sz w:val="28"/>
          <w:szCs w:val="28"/>
        </w:rPr>
        <w:t>0.1分。</w:t>
      </w:r>
    </w:p>
    <w:p>
      <w:pPr>
        <w:spacing w:line="560" w:lineRule="exact"/>
        <w:ind w:left="849" w:leftChars="267" w:hanging="288" w:hangingChars="103"/>
        <w:rPr>
          <w:rFonts w:ascii="仿宋" w:hAnsi="仿宋" w:eastAsia="仿宋" w:cs="仿宋"/>
          <w:sz w:val="28"/>
          <w:szCs w:val="28"/>
        </w:rPr>
      </w:pPr>
      <w:r>
        <w:rPr>
          <w:rFonts w:hint="eastAsia" w:ascii="仿宋" w:hAnsi="仿宋" w:eastAsia="仿宋" w:cs="仿宋"/>
          <w:sz w:val="28"/>
          <w:szCs w:val="28"/>
        </w:rPr>
        <w:t>③参与未列举的其它公益活动由专业综合测评工作组酌情</w:t>
      </w:r>
      <w:r>
        <w:rPr>
          <w:rFonts w:hint="eastAsia" w:ascii="仿宋" w:hAnsi="仿宋" w:eastAsia="仿宋" w:cs="仿宋"/>
          <w:color w:val="000000"/>
          <w:sz w:val="28"/>
          <w:szCs w:val="28"/>
        </w:rPr>
        <w:t>记</w:t>
      </w:r>
      <w:r>
        <w:rPr>
          <w:rFonts w:hint="eastAsia" w:ascii="仿宋" w:hAnsi="仿宋" w:eastAsia="仿宋" w:cs="仿宋"/>
          <w:sz w:val="28"/>
          <w:szCs w:val="28"/>
        </w:rPr>
        <w:t>0.1至0.2分（须本人提供证明材料）。</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（7）遵守国家法律、法规，未受司法或公安部门处罚，记1分。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（8）遵守课堂纪律，无迟到、早退、旷课现象，记0.5分。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（9）遵守考试纪律，无旷考、违纪和作弊现象，记0.5分。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（10）遵守宿舍管理规定，按时归寝就寝，不影响他人正常学习和休息；不在宿舍做饭，不在宿舍内使用大功率用电器，不损毁和私自拆装宿舍设施，记0.5分。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（11）无上述以外其他违反校纪校规行为，记0.5分。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2.加减分（满分3分）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被评为“五星级文明宿舍”的宿舍成员加0.35分，宿舍长另加0.05分；“四星级宿舍”的宿舍成员加0.25分，宿舍长另加0.05分；荣获流动红旗的宿舍全体成员每次分别加0.05分；获得“十佳宿舍”称号的宿舍全体成员加0.1分。此项上限1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2）获得校级十佳团员加1分，优秀团干加0.8分，优秀团员加0.6分，优秀学生干部、标兵称号加0.4分，先进个人加0.3分；院级优秀团干加0.4分，优秀团员加0.3分，优秀学生干部、标兵称号加0.2分，先进个人加0.1分；班级团组织生活组织者每次加0.02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（3）有重大助人为乐、见义勇为、拾金不昧等表现，由专业综合测评工作组酌情加分，上限0.5分。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（4）获得校级及以上荣誉称号班集体的成员加0.3分，获得院级荣誉称号班集体的成员加0.2分。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（5）学年内旷课一次扣0.2分，三次迟到或早退或旷晚自习者按一次旷课处理。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6）受学校警告处分一次扣1分，严重警告一次扣1.5分，记过一次扣2分，留校察看扣3分；受学院通报批评一次分别扣0.5分，受院级警告处分一次分别扣0.35分，受各部通报批评一次分别扣0.25分，受各部部内警告每次扣0.15分。以上同一行为扣分就高不就低，不重复扣分，纪检早起、晚归的处分不在此处扣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（7）在学校卫生检查中，被评为卫生不合格宿舍，舍长和其他舍员分别扣0.3分、0.2分；五星级宿舍评比过程中未达到三星级的宿舍舍长和其他舍员分别扣0.3分、0.2分。</w:t>
      </w:r>
    </w:p>
    <w:p>
      <w:pPr>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（8）创意宿舍：院级一等奖全体宿舍成员0.2分；二等奖宿舍成员0.15分；三等奖全体宿舍成员0.1分</w:t>
      </w:r>
    </w:p>
    <w:p>
      <w:pPr>
        <w:spacing w:line="560" w:lineRule="exact"/>
        <w:ind w:firstLine="562" w:firstLineChars="200"/>
        <w:rPr>
          <w:rFonts w:ascii="仿宋" w:hAnsi="仿宋" w:eastAsia="仿宋" w:cs="仿宋"/>
          <w:b/>
          <w:color w:val="000000"/>
          <w:sz w:val="28"/>
          <w:szCs w:val="28"/>
        </w:rPr>
      </w:pPr>
      <w:r>
        <w:rPr>
          <w:rFonts w:hint="eastAsia" w:ascii="仿宋" w:hAnsi="仿宋" w:eastAsia="仿宋" w:cs="仿宋"/>
          <w:b/>
          <w:color w:val="000000"/>
          <w:sz w:val="28"/>
          <w:szCs w:val="28"/>
        </w:rPr>
        <w:t>（二）智育（满分82分）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智育成绩由思政课综合评价、文化课成绩、创新创业能力三部分组成，得分精确到小数点后两位。</w:t>
      </w:r>
    </w:p>
    <w:p>
      <w:pPr>
        <w:spacing w:line="560" w:lineRule="exact"/>
        <w:ind w:firstLine="562" w:firstLineChars="200"/>
        <w:rPr>
          <w:rFonts w:ascii="仿宋" w:hAnsi="仿宋" w:eastAsia="仿宋" w:cs="仿宋"/>
          <w:b/>
          <w:color w:val="000000"/>
          <w:sz w:val="28"/>
          <w:szCs w:val="28"/>
        </w:rPr>
      </w:pPr>
      <w:r>
        <w:rPr>
          <w:rFonts w:hint="eastAsia" w:ascii="仿宋" w:hAnsi="仿宋" w:eastAsia="仿宋" w:cs="仿宋"/>
          <w:b/>
          <w:color w:val="000000"/>
          <w:sz w:val="28"/>
          <w:szCs w:val="28"/>
        </w:rPr>
        <w:t>1．思政课综合评价（满分5分）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思政课综合评价成绩由课堂表现和学习成效组成。</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（1）课堂表现为2分，以任课老师依据考勤、作业、课堂提问等给的平时成绩核算；</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（2）学习成效为3分，以教务处提供的学生卷面成绩核算。</w:t>
      </w:r>
    </w:p>
    <w:p>
      <w:pPr>
        <w:spacing w:line="560" w:lineRule="exact"/>
        <w:ind w:firstLine="562" w:firstLineChars="200"/>
        <w:rPr>
          <w:rFonts w:ascii="仿宋" w:hAnsi="仿宋" w:eastAsia="仿宋" w:cs="仿宋"/>
          <w:b/>
          <w:color w:val="000000"/>
          <w:sz w:val="28"/>
          <w:szCs w:val="28"/>
        </w:rPr>
      </w:pPr>
      <w:r>
        <w:rPr>
          <w:rFonts w:hint="eastAsia" w:ascii="仿宋" w:hAnsi="仿宋" w:eastAsia="仿宋" w:cs="仿宋"/>
          <w:b/>
          <w:color w:val="000000"/>
          <w:sz w:val="28"/>
          <w:szCs w:val="28"/>
        </w:rPr>
        <w:t>2．文化课成绩（满分75分）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文化课成绩计算公式为：</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文化课成绩 = 本学年学分成绩×0.75</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课程补考一门扣0.5分，重修1门扣1分，同一门扣分就高不就低，不重复扣分。</w:t>
      </w:r>
    </w:p>
    <w:p>
      <w:pPr>
        <w:spacing w:line="560" w:lineRule="exact"/>
        <w:ind w:firstLine="562" w:firstLineChars="200"/>
        <w:rPr>
          <w:rFonts w:ascii="仿宋" w:hAnsi="仿宋" w:eastAsia="仿宋" w:cs="仿宋"/>
          <w:b/>
          <w:sz w:val="28"/>
          <w:szCs w:val="28"/>
        </w:rPr>
      </w:pPr>
      <w:r>
        <w:rPr>
          <w:rFonts w:hint="eastAsia" w:ascii="仿宋" w:hAnsi="仿宋" w:eastAsia="仿宋" w:cs="仿宋"/>
          <w:b/>
          <w:sz w:val="28"/>
          <w:szCs w:val="28"/>
        </w:rPr>
        <w:t>3．创新创业能力（满分2分）</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创新创业能力成绩由基础分和加分项两部分组成。</w:t>
      </w:r>
    </w:p>
    <w:p>
      <w:pPr>
        <w:spacing w:line="560" w:lineRule="exact"/>
        <w:ind w:firstLine="562" w:firstLineChars="200"/>
        <w:rPr>
          <w:rFonts w:ascii="仿宋" w:hAnsi="仿宋" w:eastAsia="仿宋" w:cs="仿宋"/>
          <w:b/>
          <w:sz w:val="28"/>
          <w:szCs w:val="28"/>
        </w:rPr>
      </w:pPr>
      <w:r>
        <w:rPr>
          <w:rFonts w:hint="eastAsia" w:ascii="仿宋" w:hAnsi="仿宋" w:eastAsia="仿宋" w:cs="仿宋"/>
          <w:b/>
          <w:sz w:val="28"/>
          <w:szCs w:val="28"/>
        </w:rPr>
        <w:t>创新创业能力基础分（满分0.5分）</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获得基础分条件：学习目标明确，态度认真，学年度完成应修学分且学分成绩在70分以上</w:t>
      </w:r>
      <w:r>
        <w:rPr>
          <w:rFonts w:hint="eastAsia" w:ascii="仿宋" w:hAnsi="仿宋" w:eastAsia="仿宋" w:cs="仿宋"/>
          <w:color w:val="000000"/>
          <w:sz w:val="28"/>
          <w:szCs w:val="28"/>
        </w:rPr>
        <w:t>记</w:t>
      </w:r>
      <w:r>
        <w:rPr>
          <w:rFonts w:hint="eastAsia" w:ascii="仿宋" w:hAnsi="仿宋" w:eastAsia="仿宋" w:cs="仿宋"/>
          <w:sz w:val="28"/>
          <w:szCs w:val="28"/>
        </w:rPr>
        <w:t>0.5分，学年度完成应修学分但学分成绩在70分以下</w:t>
      </w:r>
      <w:r>
        <w:rPr>
          <w:rFonts w:hint="eastAsia" w:ascii="仿宋" w:hAnsi="仿宋" w:eastAsia="仿宋" w:cs="仿宋"/>
          <w:color w:val="000000"/>
          <w:sz w:val="28"/>
          <w:szCs w:val="28"/>
        </w:rPr>
        <w:t>记</w:t>
      </w:r>
      <w:r>
        <w:rPr>
          <w:rFonts w:hint="eastAsia" w:ascii="仿宋" w:hAnsi="仿宋" w:eastAsia="仿宋" w:cs="仿宋"/>
          <w:sz w:val="28"/>
          <w:szCs w:val="28"/>
        </w:rPr>
        <w:t>0.4分，学年度未完成应修学分但学分成绩在70分以上</w:t>
      </w:r>
      <w:r>
        <w:rPr>
          <w:rFonts w:hint="eastAsia" w:ascii="仿宋" w:hAnsi="仿宋" w:eastAsia="仿宋" w:cs="仿宋"/>
          <w:color w:val="000000"/>
          <w:sz w:val="28"/>
          <w:szCs w:val="28"/>
        </w:rPr>
        <w:t>记</w:t>
      </w:r>
      <w:r>
        <w:rPr>
          <w:rFonts w:hint="eastAsia" w:ascii="仿宋" w:hAnsi="仿宋" w:eastAsia="仿宋" w:cs="仿宋"/>
          <w:sz w:val="28"/>
          <w:szCs w:val="28"/>
        </w:rPr>
        <w:t>0.3分，学年度未完成应修学分且学分成绩在70分以下</w:t>
      </w:r>
      <w:r>
        <w:rPr>
          <w:rFonts w:hint="eastAsia" w:ascii="仿宋" w:hAnsi="仿宋" w:eastAsia="仿宋" w:cs="仿宋"/>
          <w:color w:val="000000"/>
          <w:sz w:val="28"/>
          <w:szCs w:val="28"/>
        </w:rPr>
        <w:t>记</w:t>
      </w:r>
      <w:r>
        <w:rPr>
          <w:rFonts w:hint="eastAsia" w:ascii="仿宋" w:hAnsi="仿宋" w:eastAsia="仿宋" w:cs="仿宋"/>
          <w:sz w:val="28"/>
          <w:szCs w:val="28"/>
        </w:rPr>
        <w:t>0.2分。</w:t>
      </w:r>
    </w:p>
    <w:p>
      <w:pPr>
        <w:spacing w:line="560" w:lineRule="exact"/>
        <w:ind w:firstLine="562" w:firstLineChars="200"/>
        <w:rPr>
          <w:rFonts w:ascii="仿宋" w:hAnsi="仿宋" w:eastAsia="仿宋" w:cs="仿宋"/>
          <w:b/>
          <w:sz w:val="28"/>
          <w:szCs w:val="28"/>
        </w:rPr>
      </w:pPr>
      <w:r>
        <w:rPr>
          <w:rFonts w:hint="eastAsia" w:ascii="仿宋" w:hAnsi="仿宋" w:eastAsia="仿宋" w:cs="仿宋"/>
          <w:b/>
          <w:sz w:val="28"/>
          <w:szCs w:val="28"/>
        </w:rPr>
        <w:t>创新创业能力加分项（满分1.5分）</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凡取得以下前四项中所列的成绩或证书的，可在不同学年多次给予加分，其他项只对本学年情况进行认定加分。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通过大学英语四级考试加0.2分，优秀另加0.1分；通过大学英语六级考试加0.3分，优秀另加0.1分(四、六级考试425分及以上为通过，四级560分及以上为优秀，六级523分及以上为优秀)。雅思6.5分、托福90分、GRE1200分以上加0.4分，须本人提供成绩单。</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（2）通过英语口语A、B、C级分别加0.3分、0.2分、0.1分，以证书为准。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（3）通过非计算机专业国家计算机等级考试二级加0.2分，三级加0.3分。以证书为准，其中优秀者按100%折算，合格者按80%折算。</w:t>
      </w:r>
    </w:p>
    <w:p>
      <w:pPr>
        <w:pStyle w:val="2"/>
        <w:shd w:val="clear" w:color="auto" w:fill="FFFFFF"/>
        <w:spacing w:before="0" w:beforeAutospacing="0" w:after="0" w:afterAutospacing="0" w:line="560" w:lineRule="exact"/>
        <w:ind w:firstLine="560" w:firstLineChars="200"/>
        <w:rPr>
          <w:rFonts w:ascii="仿宋" w:hAnsi="仿宋" w:eastAsia="仿宋" w:cs="仿宋"/>
          <w:b w:val="0"/>
          <w:bCs w:val="0"/>
          <w:color w:val="000000"/>
          <w:kern w:val="2"/>
          <w:sz w:val="28"/>
          <w:szCs w:val="28"/>
        </w:rPr>
      </w:pPr>
      <w:r>
        <w:rPr>
          <w:rFonts w:hint="eastAsia" w:ascii="仿宋" w:hAnsi="仿宋" w:eastAsia="仿宋" w:cs="仿宋"/>
          <w:b w:val="0"/>
          <w:bCs w:val="0"/>
          <w:color w:val="000000"/>
          <w:kern w:val="2"/>
          <w:sz w:val="28"/>
          <w:szCs w:val="28"/>
        </w:rPr>
        <w:t>（4）获得教师资格证、心理咨询师、国家公共营养师、驾驶证、会计从业资格证等职业资格证书加0.2分。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5）发表收录论文（指被SCI、EI、SSCI等全文收录的论文，且须有检索单位出据的收录证明）加１分；在一级学报刊物发表论文加０.8分；在核心刊物发表论文加0.6分；在普通刊物发表论文加0.4分。以上加分以第一作者为准，第二作者按80%计算加分，第三作者以后按50%计算加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6）参加学习竞赛、知识竞赛，获国家级一等奖、二等奖、三等奖及优秀奖者分别加1分、0.9分、0.8分、0.7分；获省级一等奖、二等奖、三等奖及优秀奖者分别加0.8分、0.7分、0.6分、0.5分；获校级一等奖、二等奖、三等奖及优胜奖者分别加0.6分、0.5分、0.4分、0.3分。同一竞赛获奖加分就高不就低，不重复加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7）参加“互联网＋”创新创业大赛、“挑战杯”创新创业大赛、软件设计大赛等创新创业竞赛，获国家级一等奖、二等奖、三等奖及优秀奖者分别加1分、0.9分、0.8分、0.7分；获省级一等奖、二等奖、三等奖及优秀奖者分别加0.8分、0.7分、0.6分、0.5分；获校级一等奖、二等奖、三等奖及优胜奖者分别加0.6分、0.5分、0.4分、0.3分；获院级一等奖、二等奖、三等奖及优胜奖者分别加0.4分、0.3分、0.2分、0.1分。同一创新创业项目获奖加分就高不就低，不重复加分，项目主持人另加0.1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（8）获批大学生创新创业训练项目并在本学年内成功结题，国家级加0.5分，省级加0.4分，校级重点加0.3分，校级一般和院级加0.1分，项目主持人另加0.1分。以上加分以项目</w:t>
      </w:r>
      <w:r>
        <w:rPr>
          <w:rFonts w:hint="eastAsia" w:ascii="仿宋" w:hAnsi="仿宋" w:eastAsia="仿宋" w:cs="仿宋"/>
          <w:color w:val="000000" w:themeColor="text1"/>
          <w:sz w:val="28"/>
          <w:szCs w:val="28"/>
        </w:rPr>
        <w:t>结题验收被评为优秀的为准，被评为良好和合格的分别按90%和80%折算加分</w:t>
      </w:r>
      <w:r>
        <w:rPr>
          <w:rFonts w:hint="eastAsia" w:ascii="仿宋" w:hAnsi="仿宋" w:eastAsia="仿宋" w:cs="仿宋"/>
          <w:color w:val="000000"/>
          <w:sz w:val="28"/>
          <w:szCs w:val="28"/>
        </w:rPr>
        <w:t>。</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9）在本学年学校举办大型创新创业活动中获得一等奖、二等奖、三等奖及优秀奖者，分别加0.4分、0.3分、0.2分、0.1分（所有项目组织发起人可另加0.1分）；学院举办创新创业活动获得一等奖、二等奖、三等奖及优秀奖者，分别加0.25分、0.2分、0.15分、0.05分（所有项目组织发起人可另加0.05分）。参加创业俱乐部等平台举办的创新创业活动（理论学习除外），每次加0.1分。</w:t>
      </w:r>
    </w:p>
    <w:p>
      <w:pPr>
        <w:pStyle w:val="17"/>
        <w:spacing w:line="560" w:lineRule="exact"/>
        <w:ind w:firstLine="560"/>
        <w:rPr>
          <w:rFonts w:ascii="仿宋" w:hAnsi="仿宋" w:eastAsia="仿宋" w:cs="仿宋"/>
          <w:color w:val="000000"/>
          <w:sz w:val="28"/>
          <w:szCs w:val="28"/>
        </w:rPr>
      </w:pPr>
      <w:r>
        <w:rPr>
          <w:rFonts w:hint="eastAsia" w:ascii="仿宋" w:hAnsi="仿宋" w:eastAsia="仿宋" w:cs="仿宋"/>
          <w:color w:val="000000"/>
          <w:sz w:val="28"/>
          <w:szCs w:val="28"/>
        </w:rPr>
        <w:t>（10）由学生开发（设计）取得的科技成果获国家发明专利、实用新型专利、外观设计专利，分别加1分、0.8分、0.6分。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（11）每参加一次院级社会实践活动加0.1分，参加一次班级社会实践活动加0.05分，班级社会实践活动组织者另加0.02分，上限0.5分。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（12）提交社会实践论文并合格者加0.05分，被评为校级优秀论文一等奖、二等奖、三等奖的每篇分别加0.2分、0.15分、0.1分。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（13）参加暑期“三下乡”活动者加0.2分，队长另加0.1分。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（14）参加田园使者活动并拿到聘书者加0.1分，队长另加0.1分。优秀队伍所有队员另加0.1分，良好队伍所有队员另加0.05分。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（15）担任大学生村主任助理并合格者加0.1分，荣获十佳称号者另加0.2分，获优秀称号者另加0.1分；参加学院村助志愿者活动每人每次0.05分，上限0.2分。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（16）参加“回访母校”活动每人加0.2分；参加“千村万户”脱贫攻坚调研加0.1分。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（17）获得社会实践先进个人称号加0.2分，社会实践标兵称号加0.3分。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（18）积极参加就业实习（政府见习、大学生厂长助理等），签署有实习协议，实习满20天者加0.3分。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（19）参加校级征文活动，获得一等奖、二等奖、三等奖分别加0.2分、0.15分、0.1分；参加院级征文活动，获得一等奖、二等奖、三等奖加0.15分、0.1分、0.05分。</w:t>
      </w:r>
    </w:p>
    <w:p>
      <w:pPr>
        <w:pStyle w:val="17"/>
        <w:spacing w:line="560" w:lineRule="exact"/>
        <w:ind w:firstLine="562"/>
        <w:rPr>
          <w:rFonts w:ascii="仿宋" w:hAnsi="仿宋" w:eastAsia="仿宋" w:cs="仿宋"/>
          <w:b/>
          <w:color w:val="000000"/>
          <w:sz w:val="28"/>
          <w:szCs w:val="28"/>
        </w:rPr>
      </w:pPr>
      <w:r>
        <w:rPr>
          <w:rFonts w:hint="eastAsia" w:ascii="仿宋" w:hAnsi="仿宋" w:eastAsia="仿宋" w:cs="仿宋"/>
          <w:b/>
          <w:color w:val="000000"/>
          <w:sz w:val="28"/>
          <w:szCs w:val="28"/>
        </w:rPr>
        <w:t>（三）文体（满分8分）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文体成绩包括体质健康标准达标情况、纪律检查情况以及文体能力三部分内容。</w:t>
      </w:r>
    </w:p>
    <w:p>
      <w:pPr>
        <w:spacing w:line="560" w:lineRule="exact"/>
        <w:ind w:firstLine="562" w:firstLineChars="200"/>
        <w:rPr>
          <w:rFonts w:ascii="仿宋" w:hAnsi="仿宋" w:eastAsia="仿宋" w:cs="仿宋"/>
          <w:b/>
          <w:color w:val="000000"/>
          <w:sz w:val="28"/>
          <w:szCs w:val="28"/>
        </w:rPr>
      </w:pPr>
      <w:r>
        <w:rPr>
          <w:rFonts w:hint="eastAsia" w:ascii="仿宋" w:hAnsi="仿宋" w:eastAsia="仿宋" w:cs="仿宋"/>
          <w:b/>
          <w:color w:val="000000"/>
          <w:sz w:val="28"/>
          <w:szCs w:val="28"/>
        </w:rPr>
        <w:t>1.体质健康标准达标情况（满分3分）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依据学生体质健康标准测试（简称体测）成绩进行折算。免修体育课或者免体测者，按1.8分计入。</w:t>
      </w:r>
    </w:p>
    <w:p>
      <w:pPr>
        <w:spacing w:line="560" w:lineRule="exact"/>
        <w:ind w:firstLine="562" w:firstLineChars="200"/>
        <w:rPr>
          <w:rFonts w:ascii="仿宋" w:hAnsi="仿宋" w:eastAsia="仿宋" w:cs="仿宋"/>
          <w:b/>
          <w:color w:val="000000"/>
          <w:sz w:val="28"/>
          <w:szCs w:val="28"/>
        </w:rPr>
      </w:pPr>
      <w:r>
        <w:rPr>
          <w:rFonts w:hint="eastAsia" w:ascii="仿宋" w:hAnsi="仿宋" w:eastAsia="仿宋" w:cs="仿宋"/>
          <w:b/>
          <w:color w:val="000000"/>
          <w:sz w:val="28"/>
          <w:szCs w:val="28"/>
        </w:rPr>
        <w:t>2.纪律表现情况（满分2分）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（1）出勤（早操、早操卡、各球队点名）：满分0.9分，一次缺勤扣0.03分，次数累加，免操同学按0.85计算。</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（2）早起晚归：满分0.9分，在院纪检部查早起或晚归过程中出现违纪行为扣0.1分，在校纪检部查早起或晚归过程中出现违纪行为扣0.2分，次数累加。</w:t>
      </w:r>
    </w:p>
    <w:p>
      <w:pPr>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（3）纪律活动：担任纪律卫生整顿月志愿者的同学加0.1分；纪律卫生整顿月纪检先进个人加0.1分。</w:t>
      </w:r>
    </w:p>
    <w:p>
      <w:pPr>
        <w:spacing w:line="560" w:lineRule="exact"/>
        <w:ind w:firstLine="562" w:firstLineChars="200"/>
        <w:rPr>
          <w:rFonts w:ascii="仿宋" w:hAnsi="仿宋" w:eastAsia="仿宋" w:cs="仿宋"/>
          <w:b/>
          <w:color w:val="000000"/>
          <w:sz w:val="28"/>
          <w:szCs w:val="28"/>
        </w:rPr>
      </w:pPr>
      <w:r>
        <w:rPr>
          <w:rFonts w:hint="eastAsia" w:ascii="仿宋" w:hAnsi="仿宋" w:eastAsia="仿宋" w:cs="仿宋"/>
          <w:b/>
          <w:color w:val="000000"/>
          <w:sz w:val="28"/>
          <w:szCs w:val="28"/>
        </w:rPr>
        <w:t>3.文体能力（满分3分）</w:t>
      </w:r>
    </w:p>
    <w:p>
      <w:pPr>
        <w:spacing w:line="560" w:lineRule="exact"/>
        <w:ind w:firstLine="562" w:firstLineChars="200"/>
        <w:rPr>
          <w:rFonts w:ascii="仿宋" w:hAnsi="仿宋" w:eastAsia="仿宋" w:cs="仿宋"/>
          <w:color w:val="000000"/>
          <w:sz w:val="28"/>
          <w:szCs w:val="28"/>
        </w:rPr>
      </w:pPr>
      <w:r>
        <w:rPr>
          <w:rFonts w:hint="eastAsia" w:ascii="仿宋" w:hAnsi="仿宋" w:eastAsia="仿宋" w:cs="仿宋"/>
          <w:b/>
          <w:color w:val="000000"/>
          <w:sz w:val="28"/>
          <w:szCs w:val="28"/>
        </w:rPr>
        <w:t>（1）文体活动态度（满分1.5分）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①参与校、院组织的各种文体活动礼仪、裁判、主持、宣传板制作、评委、执勤（仅限于国旗班）等工作者，每人次加0.05分，累计加分不超过0.3分。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②凡积极参加学院每年组织的春季训练和冬季训练的同学，根据其每次训练及到场情况，合格者每人每次加0.01分，上限0.5分。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③活动照片及活动稿件在学院网站刊登每次0.01分，被学校网站主页刊登每次加0.05分，被学校其他网站（如西农团委）刊登每次加0.02分，被省级媒体采用每次加0.1分，被国家级媒体采用每次加0.2分。军训简报、军训快报、校级运动会优秀稿件加0.01分/篇，稿件不重复加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④个人在学院官方微信平台“后稷有人”投稿并推送，单篇阅读量超过300加0.02分。班级活动稿件给撰稿者加分。微信平台“后稷有人”后台编辑每次排版0.01分。此项累计加分不超过0.5分。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⑤积极参加校运动会每人每项加0.1分，参加越野赛、院系间球赛、杨凌马拉松大赛加0.1分。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⑥积极参加校级文艺活动（如舞蹈大赛、腰鼓大赛、校级辩论赛、话剧大赛、演讲比赛、十佳歌手等）的同学每次加0.1分。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⑦积极参加院级各类文体活动（如元旦晚会、演讲比赛等）加0.05分/次。</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⑧组织各项文艺（含大型组织文化活动）、体育活动的人员，校级加0.05分/次，院级加0.03分/次，班级加0.02/次（班级文体活动需在活动前一周向文艺部、体育部报备），超过5次以5次计。该项所有同类型或同场次活动不得重复加分，若出现重复情况按就高不就低原则进行加分。</w:t>
      </w:r>
    </w:p>
    <w:p>
      <w:pPr>
        <w:spacing w:line="560" w:lineRule="exact"/>
        <w:ind w:firstLine="562" w:firstLineChars="200"/>
        <w:rPr>
          <w:rFonts w:ascii="仿宋" w:hAnsi="仿宋" w:eastAsia="仿宋" w:cs="仿宋"/>
          <w:b/>
          <w:color w:val="000000"/>
          <w:sz w:val="28"/>
          <w:szCs w:val="28"/>
        </w:rPr>
      </w:pPr>
      <w:r>
        <w:rPr>
          <w:rFonts w:hint="eastAsia" w:ascii="仿宋" w:hAnsi="仿宋" w:eastAsia="仿宋" w:cs="仿宋"/>
          <w:b/>
          <w:color w:val="000000"/>
          <w:sz w:val="28"/>
          <w:szCs w:val="28"/>
        </w:rPr>
        <w:t>（2）文体成绩（满分1.5分）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①参加国家级文体竞赛，获一等奖加1分，二等奖加0.9分，三等奖加0.8分，四等奖或优秀奖均加0.75分。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②参加省部级文体竞赛，获一等奖加0.75分，二等奖加0.7分，三等奖加0.65分，四等奖或优秀奖均加0.6分。</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③获校级文体竞赛（越野赛除外）第一名、第二名或一等奖加0.6分，获第三、四名或二等奖加0.5分，获第五、六名或三等奖加0.4分，获第七、八名或优秀奖分别加0.3分。</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④获院级文体竞赛（越野赛除外）第一名、第二名或一等奖加0.2分，获第三、四名或二等奖加0.15分，获第五、六名或三等奖加0.1分，获第七、八名或优秀奖加0.05分。</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⑤参加学校越野赛1-10名加0.5分、11-20名加0.4分、21-50名加0.3分，50名以后跑完全程者加0.2分；参加学院越野赛，1-10名加0.2分，11-20名加0.1分，20名以后跑完全程者加0.05分。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⑥获得校级、院级“口才之星”荣誉称号，分别加0.3分、0.15分。</w:t>
      </w:r>
    </w:p>
    <w:p>
      <w:pPr>
        <w:spacing w:line="56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以上文体活动中，同一比赛项目获奖加分就高不就低，不重复加分。文体活动态度和文体成绩两项加分，就高不就低，加分最高限为3分。</w:t>
      </w:r>
    </w:p>
    <w:p>
      <w:pPr>
        <w:spacing w:line="560" w:lineRule="exact"/>
        <w:ind w:firstLine="562" w:firstLineChars="200"/>
        <w:jc w:val="left"/>
        <w:rPr>
          <w:rFonts w:ascii="仿宋" w:hAnsi="仿宋" w:eastAsia="仿宋" w:cs="仿宋"/>
          <w:b/>
          <w:color w:val="000000"/>
          <w:sz w:val="28"/>
          <w:szCs w:val="28"/>
        </w:rPr>
      </w:pPr>
      <w:r>
        <w:rPr>
          <w:rFonts w:hint="eastAsia" w:ascii="仿宋" w:hAnsi="仿宋" w:eastAsia="仿宋" w:cs="仿宋"/>
          <w:b/>
          <w:color w:val="000000"/>
          <w:sz w:val="28"/>
          <w:szCs w:val="28"/>
        </w:rPr>
        <w:t>三、有关说明</w:t>
      </w:r>
    </w:p>
    <w:p>
      <w:pPr>
        <w:spacing w:line="56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（一）各项加分不能超过相应的最高限制。</w:t>
      </w:r>
    </w:p>
    <w:p>
      <w:pPr>
        <w:spacing w:line="56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（二）如某个具体的素质表现在本细则的计分标准中未涉及，可形成书面材料经班长提交农学院学生综合测评领导小组议定加减分值，辅导员签署意见并加盖农学院团工委公章即生效。</w:t>
      </w:r>
    </w:p>
    <w:p>
      <w:pPr>
        <w:spacing w:line="560" w:lineRule="exact"/>
        <w:ind w:firstLine="562" w:firstLineChars="200"/>
        <w:jc w:val="left"/>
        <w:rPr>
          <w:rFonts w:ascii="仿宋" w:hAnsi="仿宋" w:eastAsia="仿宋" w:cs="仿宋"/>
          <w:color w:val="000000"/>
          <w:sz w:val="28"/>
          <w:szCs w:val="28"/>
        </w:rPr>
      </w:pPr>
      <w:r>
        <w:rPr>
          <w:rFonts w:hint="eastAsia" w:ascii="仿宋" w:hAnsi="仿宋" w:eastAsia="仿宋" w:cs="仿宋"/>
          <w:b/>
          <w:color w:val="000000"/>
          <w:sz w:val="28"/>
          <w:szCs w:val="28"/>
        </w:rPr>
        <w:t>四、其他</w:t>
      </w:r>
    </w:p>
    <w:p>
      <w:pPr>
        <w:spacing w:line="56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本细则由学院学生综合</w:t>
      </w:r>
      <w:r>
        <w:rPr>
          <w:rFonts w:hint="eastAsia" w:ascii="仿宋" w:hAnsi="仿宋" w:eastAsia="仿宋" w:cs="仿宋"/>
          <w:color w:val="000000"/>
          <w:sz w:val="28"/>
          <w:szCs w:val="28"/>
          <w:lang w:eastAsia="zh-CN"/>
        </w:rPr>
        <w:t>素质</w:t>
      </w:r>
      <w:r>
        <w:rPr>
          <w:rFonts w:hint="eastAsia" w:ascii="仿宋" w:hAnsi="仿宋" w:eastAsia="仿宋" w:cs="仿宋"/>
          <w:color w:val="000000"/>
          <w:sz w:val="28"/>
          <w:szCs w:val="28"/>
        </w:rPr>
        <w:t>测评领导小组负责解释。</w:t>
      </w:r>
    </w:p>
    <w:p>
      <w:pPr>
        <w:spacing w:line="560" w:lineRule="exact"/>
        <w:ind w:firstLine="560" w:firstLineChars="200"/>
        <w:jc w:val="left"/>
        <w:rPr>
          <w:rFonts w:ascii="仿宋" w:hAnsi="仿宋" w:eastAsia="仿宋" w:cs="仿宋"/>
          <w:color w:val="000000"/>
          <w:sz w:val="28"/>
          <w:szCs w:val="28"/>
        </w:rPr>
      </w:pPr>
    </w:p>
    <w:p>
      <w:pPr>
        <w:spacing w:line="560" w:lineRule="exact"/>
        <w:ind w:firstLine="560" w:firstLineChars="200"/>
        <w:jc w:val="left"/>
        <w:rPr>
          <w:rFonts w:ascii="仿宋" w:hAnsi="仿宋" w:eastAsia="仿宋" w:cs="仿宋"/>
          <w:color w:val="000000"/>
          <w:sz w:val="28"/>
          <w:szCs w:val="28"/>
        </w:rPr>
      </w:pPr>
    </w:p>
    <w:p>
      <w:pPr>
        <w:spacing w:line="560" w:lineRule="exact"/>
        <w:ind w:firstLine="560" w:firstLineChars="200"/>
        <w:jc w:val="left"/>
        <w:rPr>
          <w:rFonts w:ascii="仿宋" w:hAnsi="仿宋" w:eastAsia="仿宋" w:cs="仿宋"/>
          <w:color w:val="000000"/>
          <w:sz w:val="28"/>
          <w:szCs w:val="28"/>
        </w:rPr>
      </w:pPr>
    </w:p>
    <w:p>
      <w:pPr>
        <w:spacing w:line="560" w:lineRule="exact"/>
        <w:ind w:firstLine="560" w:firstLineChars="200"/>
        <w:jc w:val="right"/>
        <w:rPr>
          <w:rFonts w:ascii="仿宋" w:hAnsi="仿宋" w:eastAsia="仿宋" w:cs="仿宋"/>
          <w:color w:val="000000"/>
          <w:sz w:val="28"/>
          <w:szCs w:val="28"/>
        </w:rPr>
      </w:pPr>
    </w:p>
    <w:p>
      <w:pPr>
        <w:spacing w:line="560" w:lineRule="exact"/>
        <w:ind w:firstLine="560" w:firstLineChars="200"/>
        <w:jc w:val="right"/>
        <w:rPr>
          <w:rFonts w:ascii="仿宋" w:hAnsi="仿宋" w:eastAsia="仿宋" w:cs="仿宋"/>
          <w:color w:val="000000"/>
          <w:sz w:val="28"/>
          <w:szCs w:val="28"/>
        </w:rPr>
      </w:pPr>
      <w:r>
        <w:rPr>
          <w:rFonts w:hint="eastAsia" w:ascii="仿宋" w:hAnsi="仿宋" w:eastAsia="仿宋" w:cs="仿宋"/>
          <w:color w:val="000000"/>
          <w:sz w:val="28"/>
          <w:szCs w:val="28"/>
        </w:rPr>
        <w:t xml:space="preserve"> 农学院学生综合</w:t>
      </w:r>
      <w:r>
        <w:rPr>
          <w:rFonts w:hint="eastAsia" w:ascii="仿宋" w:hAnsi="仿宋" w:eastAsia="仿宋" w:cs="仿宋"/>
          <w:color w:val="000000"/>
          <w:sz w:val="28"/>
          <w:szCs w:val="28"/>
          <w:lang w:eastAsia="zh-CN"/>
        </w:rPr>
        <w:t>素质</w:t>
      </w:r>
      <w:r>
        <w:rPr>
          <w:rFonts w:hint="eastAsia" w:ascii="仿宋" w:hAnsi="仿宋" w:eastAsia="仿宋" w:cs="仿宋"/>
          <w:color w:val="000000"/>
          <w:sz w:val="28"/>
          <w:szCs w:val="28"/>
        </w:rPr>
        <w:t>测评领导小组</w:t>
      </w:r>
    </w:p>
    <w:p>
      <w:pPr>
        <w:spacing w:line="560" w:lineRule="exact"/>
        <w:ind w:right="560" w:firstLine="560" w:firstLineChars="200"/>
        <w:jc w:val="center"/>
        <w:rPr>
          <w:rFonts w:ascii="仿宋" w:hAnsi="仿宋" w:eastAsia="仿宋" w:cs="仿宋"/>
          <w:color w:val="000000"/>
          <w:sz w:val="28"/>
          <w:szCs w:val="28"/>
        </w:rPr>
      </w:pPr>
      <w:r>
        <w:rPr>
          <w:rFonts w:hint="eastAsia" w:ascii="仿宋" w:hAnsi="仿宋" w:eastAsia="仿宋" w:cs="仿宋"/>
          <w:color w:val="000000"/>
          <w:sz w:val="28"/>
          <w:szCs w:val="28"/>
        </w:rPr>
        <w:t xml:space="preserve">                               2019年9月1</w:t>
      </w:r>
      <w:r>
        <w:rPr>
          <w:rFonts w:hint="eastAsia" w:ascii="仿宋" w:hAnsi="仿宋" w:eastAsia="仿宋" w:cs="仿宋"/>
          <w:color w:val="000000"/>
          <w:sz w:val="28"/>
          <w:szCs w:val="28"/>
          <w:lang w:val="en-US" w:eastAsia="zh-CN"/>
        </w:rPr>
        <w:t>8</w:t>
      </w:r>
      <w:r>
        <w:rPr>
          <w:rFonts w:hint="eastAsia" w:ascii="仿宋" w:hAnsi="仿宋" w:eastAsia="仿宋" w:cs="仿宋"/>
          <w:color w:val="000000"/>
          <w:sz w:val="28"/>
          <w:szCs w:val="28"/>
        </w:rPr>
        <w:t>日</w:t>
      </w:r>
    </w:p>
    <w:p>
      <w:pPr>
        <w:spacing w:line="520" w:lineRule="exact"/>
        <w:ind w:firstLine="560" w:firstLineChars="200"/>
        <w:jc w:val="right"/>
        <w:rPr>
          <w:rFonts w:ascii="仿宋_GB2312" w:eastAsia="仿宋_GB2312"/>
          <w:color w:val="00000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B7149"/>
    <w:rsid w:val="00005108"/>
    <w:rsid w:val="00006355"/>
    <w:rsid w:val="00020F0A"/>
    <w:rsid w:val="00031303"/>
    <w:rsid w:val="00034DBC"/>
    <w:rsid w:val="000458A6"/>
    <w:rsid w:val="00045BD5"/>
    <w:rsid w:val="0007719B"/>
    <w:rsid w:val="00077EB4"/>
    <w:rsid w:val="000829B3"/>
    <w:rsid w:val="000A358E"/>
    <w:rsid w:val="000C2DA7"/>
    <w:rsid w:val="000D479C"/>
    <w:rsid w:val="000D6EE5"/>
    <w:rsid w:val="000E21C8"/>
    <w:rsid w:val="000E2CB7"/>
    <w:rsid w:val="00104AD9"/>
    <w:rsid w:val="00125756"/>
    <w:rsid w:val="00131416"/>
    <w:rsid w:val="00131778"/>
    <w:rsid w:val="00141328"/>
    <w:rsid w:val="00151D1C"/>
    <w:rsid w:val="00151DDE"/>
    <w:rsid w:val="00170951"/>
    <w:rsid w:val="001762E4"/>
    <w:rsid w:val="001A0E7F"/>
    <w:rsid w:val="001B206D"/>
    <w:rsid w:val="001C44A0"/>
    <w:rsid w:val="001C72F1"/>
    <w:rsid w:val="001D2C9C"/>
    <w:rsid w:val="001E2D68"/>
    <w:rsid w:val="001E3730"/>
    <w:rsid w:val="00201434"/>
    <w:rsid w:val="0023143A"/>
    <w:rsid w:val="002320DA"/>
    <w:rsid w:val="002771F7"/>
    <w:rsid w:val="00277611"/>
    <w:rsid w:val="00283B25"/>
    <w:rsid w:val="002870C8"/>
    <w:rsid w:val="002900BA"/>
    <w:rsid w:val="002A28B2"/>
    <w:rsid w:val="002A4C85"/>
    <w:rsid w:val="002B5A0A"/>
    <w:rsid w:val="002B63A3"/>
    <w:rsid w:val="002C3543"/>
    <w:rsid w:val="002D3CCF"/>
    <w:rsid w:val="002E1516"/>
    <w:rsid w:val="002F26C3"/>
    <w:rsid w:val="00305B23"/>
    <w:rsid w:val="003127CF"/>
    <w:rsid w:val="0032355B"/>
    <w:rsid w:val="00324B6F"/>
    <w:rsid w:val="00325FCF"/>
    <w:rsid w:val="00351360"/>
    <w:rsid w:val="0035345E"/>
    <w:rsid w:val="0035711B"/>
    <w:rsid w:val="003643C4"/>
    <w:rsid w:val="00376975"/>
    <w:rsid w:val="00377E5A"/>
    <w:rsid w:val="00392114"/>
    <w:rsid w:val="003934B3"/>
    <w:rsid w:val="003957C2"/>
    <w:rsid w:val="003A2D61"/>
    <w:rsid w:val="003A34A2"/>
    <w:rsid w:val="003A3817"/>
    <w:rsid w:val="003B344D"/>
    <w:rsid w:val="003C7107"/>
    <w:rsid w:val="003C769A"/>
    <w:rsid w:val="003D341E"/>
    <w:rsid w:val="003F6C3F"/>
    <w:rsid w:val="00400E3F"/>
    <w:rsid w:val="0040652B"/>
    <w:rsid w:val="00407893"/>
    <w:rsid w:val="00435323"/>
    <w:rsid w:val="0044135A"/>
    <w:rsid w:val="00441B30"/>
    <w:rsid w:val="00443BBD"/>
    <w:rsid w:val="00444F34"/>
    <w:rsid w:val="00462528"/>
    <w:rsid w:val="00465A29"/>
    <w:rsid w:val="004717E6"/>
    <w:rsid w:val="00482963"/>
    <w:rsid w:val="00487ECE"/>
    <w:rsid w:val="00494007"/>
    <w:rsid w:val="004A0DE1"/>
    <w:rsid w:val="004A27A6"/>
    <w:rsid w:val="004B5633"/>
    <w:rsid w:val="004B7A45"/>
    <w:rsid w:val="004C70AA"/>
    <w:rsid w:val="004D7E3C"/>
    <w:rsid w:val="004E4092"/>
    <w:rsid w:val="004F0DE8"/>
    <w:rsid w:val="004F260D"/>
    <w:rsid w:val="00502C78"/>
    <w:rsid w:val="00505972"/>
    <w:rsid w:val="00513F58"/>
    <w:rsid w:val="0051609D"/>
    <w:rsid w:val="0052131F"/>
    <w:rsid w:val="005303E0"/>
    <w:rsid w:val="0053176A"/>
    <w:rsid w:val="00536DAF"/>
    <w:rsid w:val="00546232"/>
    <w:rsid w:val="0055522D"/>
    <w:rsid w:val="00561394"/>
    <w:rsid w:val="005673CF"/>
    <w:rsid w:val="00596A9A"/>
    <w:rsid w:val="005A6E93"/>
    <w:rsid w:val="005B0DBB"/>
    <w:rsid w:val="005B3313"/>
    <w:rsid w:val="005B6DC9"/>
    <w:rsid w:val="005C5B79"/>
    <w:rsid w:val="005F7EEC"/>
    <w:rsid w:val="0060495B"/>
    <w:rsid w:val="00605CA7"/>
    <w:rsid w:val="006105F5"/>
    <w:rsid w:val="0062625E"/>
    <w:rsid w:val="00626EC0"/>
    <w:rsid w:val="0063290B"/>
    <w:rsid w:val="00632EA8"/>
    <w:rsid w:val="00635163"/>
    <w:rsid w:val="00644D33"/>
    <w:rsid w:val="0066663D"/>
    <w:rsid w:val="00676EF9"/>
    <w:rsid w:val="00682FE8"/>
    <w:rsid w:val="00696979"/>
    <w:rsid w:val="006A180A"/>
    <w:rsid w:val="006A6491"/>
    <w:rsid w:val="006C0D10"/>
    <w:rsid w:val="006C5BB0"/>
    <w:rsid w:val="006D158E"/>
    <w:rsid w:val="006F5CDA"/>
    <w:rsid w:val="006F5E92"/>
    <w:rsid w:val="00704F5A"/>
    <w:rsid w:val="00730377"/>
    <w:rsid w:val="00735AC5"/>
    <w:rsid w:val="00744155"/>
    <w:rsid w:val="00756EDF"/>
    <w:rsid w:val="00757A84"/>
    <w:rsid w:val="0078061F"/>
    <w:rsid w:val="00797B0A"/>
    <w:rsid w:val="007A1A30"/>
    <w:rsid w:val="007B1FE2"/>
    <w:rsid w:val="007B2416"/>
    <w:rsid w:val="007B628B"/>
    <w:rsid w:val="007C3FB2"/>
    <w:rsid w:val="007C49A3"/>
    <w:rsid w:val="007E30CA"/>
    <w:rsid w:val="007F63C9"/>
    <w:rsid w:val="00805D51"/>
    <w:rsid w:val="008109FC"/>
    <w:rsid w:val="0081694A"/>
    <w:rsid w:val="00817DF0"/>
    <w:rsid w:val="0086235A"/>
    <w:rsid w:val="00863521"/>
    <w:rsid w:val="008645D1"/>
    <w:rsid w:val="00867459"/>
    <w:rsid w:val="00872F76"/>
    <w:rsid w:val="00876B0E"/>
    <w:rsid w:val="00877261"/>
    <w:rsid w:val="0088067C"/>
    <w:rsid w:val="00890A70"/>
    <w:rsid w:val="008A5C8B"/>
    <w:rsid w:val="008B367A"/>
    <w:rsid w:val="008B7149"/>
    <w:rsid w:val="008D053B"/>
    <w:rsid w:val="008D40B6"/>
    <w:rsid w:val="008E6F56"/>
    <w:rsid w:val="008E7D98"/>
    <w:rsid w:val="008F61D1"/>
    <w:rsid w:val="00913072"/>
    <w:rsid w:val="0091381C"/>
    <w:rsid w:val="009164C3"/>
    <w:rsid w:val="00942133"/>
    <w:rsid w:val="00943D86"/>
    <w:rsid w:val="00955C50"/>
    <w:rsid w:val="00955F13"/>
    <w:rsid w:val="00960AD6"/>
    <w:rsid w:val="00961F60"/>
    <w:rsid w:val="00966FC1"/>
    <w:rsid w:val="00982519"/>
    <w:rsid w:val="00984939"/>
    <w:rsid w:val="009851E0"/>
    <w:rsid w:val="00991C15"/>
    <w:rsid w:val="009C7AC0"/>
    <w:rsid w:val="009D2B8D"/>
    <w:rsid w:val="009D3A97"/>
    <w:rsid w:val="009E4715"/>
    <w:rsid w:val="009F1FB0"/>
    <w:rsid w:val="00A00E1C"/>
    <w:rsid w:val="00A0597D"/>
    <w:rsid w:val="00A06258"/>
    <w:rsid w:val="00A12567"/>
    <w:rsid w:val="00A21742"/>
    <w:rsid w:val="00A34486"/>
    <w:rsid w:val="00A35D31"/>
    <w:rsid w:val="00A37C2B"/>
    <w:rsid w:val="00A41715"/>
    <w:rsid w:val="00A42746"/>
    <w:rsid w:val="00A43B30"/>
    <w:rsid w:val="00A503F3"/>
    <w:rsid w:val="00A5345D"/>
    <w:rsid w:val="00A704A4"/>
    <w:rsid w:val="00A855E4"/>
    <w:rsid w:val="00A9041A"/>
    <w:rsid w:val="00A92C26"/>
    <w:rsid w:val="00A95B20"/>
    <w:rsid w:val="00AA3060"/>
    <w:rsid w:val="00AA349E"/>
    <w:rsid w:val="00AA6D26"/>
    <w:rsid w:val="00AA7015"/>
    <w:rsid w:val="00AA7BF1"/>
    <w:rsid w:val="00AB7BE2"/>
    <w:rsid w:val="00AC2FCA"/>
    <w:rsid w:val="00AC32B0"/>
    <w:rsid w:val="00AD3B0C"/>
    <w:rsid w:val="00B06663"/>
    <w:rsid w:val="00B300FA"/>
    <w:rsid w:val="00B4490A"/>
    <w:rsid w:val="00B451AA"/>
    <w:rsid w:val="00B510C4"/>
    <w:rsid w:val="00B56995"/>
    <w:rsid w:val="00B66EA3"/>
    <w:rsid w:val="00B8494C"/>
    <w:rsid w:val="00B85903"/>
    <w:rsid w:val="00B8614F"/>
    <w:rsid w:val="00BD3021"/>
    <w:rsid w:val="00BD5C06"/>
    <w:rsid w:val="00BD761B"/>
    <w:rsid w:val="00BE5033"/>
    <w:rsid w:val="00BE6B22"/>
    <w:rsid w:val="00BE6E9D"/>
    <w:rsid w:val="00BF2664"/>
    <w:rsid w:val="00BF4E7D"/>
    <w:rsid w:val="00C0228E"/>
    <w:rsid w:val="00C06757"/>
    <w:rsid w:val="00C07DEE"/>
    <w:rsid w:val="00C103D7"/>
    <w:rsid w:val="00C14BF9"/>
    <w:rsid w:val="00C21081"/>
    <w:rsid w:val="00C33CBD"/>
    <w:rsid w:val="00C508B6"/>
    <w:rsid w:val="00C56A6F"/>
    <w:rsid w:val="00C579DC"/>
    <w:rsid w:val="00C632B6"/>
    <w:rsid w:val="00C648CF"/>
    <w:rsid w:val="00C655FC"/>
    <w:rsid w:val="00C761E5"/>
    <w:rsid w:val="00C771FD"/>
    <w:rsid w:val="00C8159B"/>
    <w:rsid w:val="00C8201B"/>
    <w:rsid w:val="00CA3279"/>
    <w:rsid w:val="00CA7D79"/>
    <w:rsid w:val="00CB1C04"/>
    <w:rsid w:val="00CC175C"/>
    <w:rsid w:val="00CF22D9"/>
    <w:rsid w:val="00D01A57"/>
    <w:rsid w:val="00D07679"/>
    <w:rsid w:val="00D1040A"/>
    <w:rsid w:val="00D14DCD"/>
    <w:rsid w:val="00D159A8"/>
    <w:rsid w:val="00D16F25"/>
    <w:rsid w:val="00D23D34"/>
    <w:rsid w:val="00D274D9"/>
    <w:rsid w:val="00D3196A"/>
    <w:rsid w:val="00D47DD3"/>
    <w:rsid w:val="00D60EB4"/>
    <w:rsid w:val="00D63B58"/>
    <w:rsid w:val="00D70EB5"/>
    <w:rsid w:val="00D7107C"/>
    <w:rsid w:val="00DA5186"/>
    <w:rsid w:val="00DB51E4"/>
    <w:rsid w:val="00DC24C8"/>
    <w:rsid w:val="00DD1771"/>
    <w:rsid w:val="00DE6E68"/>
    <w:rsid w:val="00DF1C62"/>
    <w:rsid w:val="00E01ECC"/>
    <w:rsid w:val="00E05248"/>
    <w:rsid w:val="00E271A9"/>
    <w:rsid w:val="00E27B03"/>
    <w:rsid w:val="00E423CA"/>
    <w:rsid w:val="00E53B0F"/>
    <w:rsid w:val="00E704F5"/>
    <w:rsid w:val="00E724AF"/>
    <w:rsid w:val="00E8337D"/>
    <w:rsid w:val="00E850FF"/>
    <w:rsid w:val="00E9286E"/>
    <w:rsid w:val="00EA31A5"/>
    <w:rsid w:val="00EC4C54"/>
    <w:rsid w:val="00ED49C7"/>
    <w:rsid w:val="00EE229A"/>
    <w:rsid w:val="00EE412B"/>
    <w:rsid w:val="00EF0819"/>
    <w:rsid w:val="00EF43CE"/>
    <w:rsid w:val="00F031A3"/>
    <w:rsid w:val="00F11BFC"/>
    <w:rsid w:val="00F251C6"/>
    <w:rsid w:val="00F47662"/>
    <w:rsid w:val="00F62CD5"/>
    <w:rsid w:val="00F877D9"/>
    <w:rsid w:val="00F920E5"/>
    <w:rsid w:val="00F970F2"/>
    <w:rsid w:val="00FB3A97"/>
    <w:rsid w:val="00FC037C"/>
    <w:rsid w:val="00FC28A3"/>
    <w:rsid w:val="00FD48C0"/>
    <w:rsid w:val="00FE7908"/>
    <w:rsid w:val="046E6B0A"/>
    <w:rsid w:val="272F5DD7"/>
    <w:rsid w:val="5E812B1E"/>
    <w:rsid w:val="6CCE287E"/>
    <w:rsid w:val="759632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9"/>
    <w:pPr>
      <w:widowControl/>
      <w:spacing w:before="100" w:beforeAutospacing="1" w:after="100" w:afterAutospacing="1"/>
      <w:jc w:val="left"/>
      <w:outlineLvl w:val="0"/>
    </w:pPr>
    <w:rPr>
      <w:rFonts w:ascii="宋体" w:hAnsi="宋体" w:cs="宋体"/>
      <w:b/>
      <w:bCs/>
      <w:color w:val="333333"/>
      <w:kern w:val="36"/>
      <w:sz w:val="48"/>
      <w:szCs w:val="48"/>
    </w:rPr>
  </w:style>
  <w:style w:type="character" w:default="1" w:styleId="12">
    <w:name w:val="Default Paragraph Font"/>
    <w:semiHidden/>
    <w:unhideWhenUsed/>
    <w:uiPriority w:val="1"/>
  </w:style>
  <w:style w:type="table" w:default="1" w:styleId="11">
    <w:name w:val="Normal Table"/>
    <w:semiHidden/>
    <w:unhideWhenUsed/>
    <w:uiPriority w:val="99"/>
    <w:tblPr>
      <w:tblLayout w:type="fixed"/>
      <w:tblCellMar>
        <w:top w:w="0" w:type="dxa"/>
        <w:left w:w="108" w:type="dxa"/>
        <w:bottom w:w="0" w:type="dxa"/>
        <w:right w:w="108" w:type="dxa"/>
      </w:tblCellMar>
    </w:tblPr>
  </w:style>
  <w:style w:type="paragraph" w:styleId="3">
    <w:name w:val="annotation text"/>
    <w:basedOn w:val="1"/>
    <w:link w:val="18"/>
    <w:semiHidden/>
    <w:unhideWhenUsed/>
    <w:qFormat/>
    <w:uiPriority w:val="99"/>
    <w:pPr>
      <w:jc w:val="left"/>
    </w:pPr>
  </w:style>
  <w:style w:type="paragraph" w:styleId="4">
    <w:name w:val="Body Text Indent"/>
    <w:basedOn w:val="1"/>
    <w:link w:val="23"/>
    <w:qFormat/>
    <w:uiPriority w:val="0"/>
    <w:pPr>
      <w:widowControl/>
      <w:ind w:firstLine="538" w:firstLineChars="192"/>
      <w:jc w:val="left"/>
    </w:pPr>
    <w:rPr>
      <w:rFonts w:ascii="仿宋_GB2312" w:hAnsi="仿宋_GB2312" w:eastAsia="仿宋_GB2312" w:cs="仿宋_GB2312"/>
      <w:sz w:val="28"/>
      <w:szCs w:val="32"/>
    </w:rPr>
  </w:style>
  <w:style w:type="paragraph" w:styleId="5">
    <w:name w:val="Plain Text"/>
    <w:basedOn w:val="1"/>
    <w:link w:val="16"/>
    <w:qFormat/>
    <w:uiPriority w:val="0"/>
    <w:rPr>
      <w:rFonts w:hint="eastAsia" w:ascii="宋体" w:hAnsi="Courier New"/>
      <w:szCs w:val="21"/>
    </w:rPr>
  </w:style>
  <w:style w:type="paragraph" w:styleId="6">
    <w:name w:val="Date"/>
    <w:basedOn w:val="1"/>
    <w:next w:val="1"/>
    <w:link w:val="22"/>
    <w:semiHidden/>
    <w:unhideWhenUsed/>
    <w:qFormat/>
    <w:uiPriority w:val="99"/>
    <w:pPr>
      <w:ind w:left="100" w:leftChars="2500"/>
    </w:pPr>
  </w:style>
  <w:style w:type="paragraph" w:styleId="7">
    <w:name w:val="Balloon Text"/>
    <w:basedOn w:val="1"/>
    <w:link w:val="20"/>
    <w:semiHidden/>
    <w:unhideWhenUsed/>
    <w:qFormat/>
    <w:uiPriority w:val="99"/>
    <w:rPr>
      <w:sz w:val="18"/>
      <w:szCs w:val="18"/>
    </w:rPr>
  </w:style>
  <w:style w:type="paragraph" w:styleId="8">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0">
    <w:name w:val="annotation subject"/>
    <w:basedOn w:val="3"/>
    <w:next w:val="3"/>
    <w:link w:val="19"/>
    <w:semiHidden/>
    <w:unhideWhenUsed/>
    <w:qFormat/>
    <w:uiPriority w:val="99"/>
    <w:rPr>
      <w:b/>
      <w:bCs/>
    </w:rPr>
  </w:style>
  <w:style w:type="character" w:styleId="13">
    <w:name w:val="annotation reference"/>
    <w:basedOn w:val="12"/>
    <w:semiHidden/>
    <w:unhideWhenUsed/>
    <w:qFormat/>
    <w:uiPriority w:val="99"/>
    <w:rPr>
      <w:sz w:val="21"/>
      <w:szCs w:val="21"/>
    </w:rPr>
  </w:style>
  <w:style w:type="character" w:customStyle="1" w:styleId="14">
    <w:name w:val="页眉 字符"/>
    <w:basedOn w:val="12"/>
    <w:link w:val="9"/>
    <w:qFormat/>
    <w:uiPriority w:val="99"/>
    <w:rPr>
      <w:sz w:val="18"/>
      <w:szCs w:val="18"/>
    </w:rPr>
  </w:style>
  <w:style w:type="character" w:customStyle="1" w:styleId="15">
    <w:name w:val="页脚 字符"/>
    <w:basedOn w:val="12"/>
    <w:link w:val="8"/>
    <w:qFormat/>
    <w:uiPriority w:val="99"/>
    <w:rPr>
      <w:sz w:val="18"/>
      <w:szCs w:val="18"/>
    </w:rPr>
  </w:style>
  <w:style w:type="character" w:customStyle="1" w:styleId="16">
    <w:name w:val="纯文本 字符"/>
    <w:basedOn w:val="12"/>
    <w:link w:val="5"/>
    <w:qFormat/>
    <w:uiPriority w:val="0"/>
    <w:rPr>
      <w:rFonts w:ascii="宋体" w:hAnsi="Courier New" w:eastAsia="宋体" w:cs="Times New Roman"/>
      <w:szCs w:val="21"/>
    </w:rPr>
  </w:style>
  <w:style w:type="paragraph" w:styleId="17">
    <w:name w:val="List Paragraph"/>
    <w:basedOn w:val="1"/>
    <w:qFormat/>
    <w:uiPriority w:val="34"/>
    <w:pPr>
      <w:ind w:firstLine="420" w:firstLineChars="200"/>
    </w:pPr>
  </w:style>
  <w:style w:type="character" w:customStyle="1" w:styleId="18">
    <w:name w:val="批注文字 字符"/>
    <w:basedOn w:val="12"/>
    <w:link w:val="3"/>
    <w:semiHidden/>
    <w:qFormat/>
    <w:uiPriority w:val="99"/>
    <w:rPr>
      <w:rFonts w:ascii="Times New Roman" w:hAnsi="Times New Roman" w:eastAsia="宋体" w:cs="Times New Roman"/>
      <w:szCs w:val="24"/>
    </w:rPr>
  </w:style>
  <w:style w:type="character" w:customStyle="1" w:styleId="19">
    <w:name w:val="批注主题 字符"/>
    <w:basedOn w:val="18"/>
    <w:link w:val="10"/>
    <w:semiHidden/>
    <w:qFormat/>
    <w:uiPriority w:val="99"/>
    <w:rPr>
      <w:rFonts w:ascii="Times New Roman" w:hAnsi="Times New Roman" w:eastAsia="宋体" w:cs="Times New Roman"/>
      <w:b/>
      <w:bCs/>
      <w:szCs w:val="24"/>
    </w:rPr>
  </w:style>
  <w:style w:type="character" w:customStyle="1" w:styleId="20">
    <w:name w:val="批注框文本 字符"/>
    <w:basedOn w:val="12"/>
    <w:link w:val="7"/>
    <w:semiHidden/>
    <w:qFormat/>
    <w:uiPriority w:val="99"/>
    <w:rPr>
      <w:rFonts w:ascii="Times New Roman" w:hAnsi="Times New Roman" w:eastAsia="宋体" w:cs="Times New Roman"/>
      <w:sz w:val="18"/>
      <w:szCs w:val="18"/>
    </w:rPr>
  </w:style>
  <w:style w:type="paragraph" w:customStyle="1" w:styleId="2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2">
    <w:name w:val="日期 字符"/>
    <w:basedOn w:val="12"/>
    <w:link w:val="6"/>
    <w:semiHidden/>
    <w:qFormat/>
    <w:uiPriority w:val="99"/>
    <w:rPr>
      <w:rFonts w:ascii="Times New Roman" w:hAnsi="Times New Roman" w:eastAsia="宋体" w:cs="Times New Roman"/>
      <w:szCs w:val="24"/>
    </w:rPr>
  </w:style>
  <w:style w:type="character" w:customStyle="1" w:styleId="23">
    <w:name w:val="正文文本缩进 字符"/>
    <w:basedOn w:val="12"/>
    <w:link w:val="4"/>
    <w:qFormat/>
    <w:uiPriority w:val="0"/>
    <w:rPr>
      <w:rFonts w:ascii="仿宋_GB2312" w:hAnsi="仿宋_GB2312" w:eastAsia="仿宋_GB2312" w:cs="仿宋_GB2312"/>
      <w:sz w:val="28"/>
      <w:szCs w:val="32"/>
    </w:rPr>
  </w:style>
  <w:style w:type="character" w:customStyle="1" w:styleId="24">
    <w:name w:val="标题 1 字符"/>
    <w:basedOn w:val="12"/>
    <w:link w:val="2"/>
    <w:qFormat/>
    <w:uiPriority w:val="9"/>
    <w:rPr>
      <w:rFonts w:ascii="宋体" w:hAnsi="宋体" w:eastAsia="宋体" w:cs="宋体"/>
      <w:b/>
      <w:bCs/>
      <w:color w:val="333333"/>
      <w:kern w:val="36"/>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D35A7A-DF11-4D31-926E-7B2C5120819F}">
  <ds:schemaRefs/>
</ds:datastoreItem>
</file>

<file path=docProps/app.xml><?xml version="1.0" encoding="utf-8"?>
<Properties xmlns="http://schemas.openxmlformats.org/officeDocument/2006/extended-properties" xmlns:vt="http://schemas.openxmlformats.org/officeDocument/2006/docPropsVTypes">
  <Template>Normal.dotm</Template>
  <Pages>1</Pages>
  <Words>851</Words>
  <Characters>4854</Characters>
  <Lines>40</Lines>
  <Paragraphs>11</Paragraphs>
  <TotalTime>2</TotalTime>
  <ScaleCrop>false</ScaleCrop>
  <LinksUpToDate>false</LinksUpToDate>
  <CharactersWithSpaces>5694</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2016-09-04T01:53:00Z</dcterms:created>
  <dc:creator>宋雪</dc:creator>
  <cp:lastModifiedBy>好</cp:lastModifiedBy>
  <cp:lastPrinted>2017-09-07T03:00:00Z</cp:lastPrinted>
  <dcterms:modified xsi:type="dcterms:W3CDTF">2019-09-18T00:59:24Z</dcterms:modifi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