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423" w:afterLines="100" w:line="560" w:lineRule="exact"/>
        <w:ind w:firstLine="0" w:firstLineChars="0"/>
        <w:rPr>
          <w:rFonts w:hint="eastAsia" w:eastAsia="黑体" w:cs="Times New Roman"/>
          <w:sz w:val="32"/>
          <w:szCs w:val="32"/>
          <w:lang w:eastAsia="zh-CN"/>
        </w:rPr>
      </w:pPr>
      <w:bookmarkStart w:id="0" w:name="_Hlk148173755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after="423" w:afterLines="100" w:line="560" w:lineRule="exact"/>
        <w:ind w:firstLine="365" w:firstLineChars="83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西北农林科技大学实验室安全分级表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</w:trPr>
        <w:tc>
          <w:tcPr>
            <w:tcW w:w="8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黑体"/>
                <w:b/>
                <w:bCs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4"/>
              </w:rPr>
              <w:t>安全级别</w:t>
            </w:r>
          </w:p>
        </w:tc>
        <w:tc>
          <w:tcPr>
            <w:tcW w:w="411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黑体"/>
                <w:b/>
                <w:bCs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4"/>
              </w:rPr>
              <w:t>参考分级依据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</w:trPr>
        <w:tc>
          <w:tcPr>
            <w:tcW w:w="883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Ⅰ级</w:t>
            </w:r>
            <w:r>
              <w:rPr>
                <w:rFonts w:hint="eastAsia" w:eastAsia="仿宋_GB2312" w:cs="Times New Roman"/>
                <w:szCs w:val="24"/>
              </w:rPr>
              <w:t>/红色级</w:t>
            </w:r>
            <w:r>
              <w:rPr>
                <w:rFonts w:eastAsia="仿宋_GB2312" w:cs="Times New Roman"/>
                <w:szCs w:val="24"/>
              </w:rPr>
              <w:t>实验室</w:t>
            </w:r>
            <w:r>
              <w:rPr>
                <w:rFonts w:hint="eastAsia" w:eastAsia="仿宋_GB2312" w:cs="Times New Roman"/>
                <w:szCs w:val="24"/>
              </w:rPr>
              <w:t>（重大风险实验室）</w:t>
            </w:r>
          </w:p>
        </w:tc>
        <w:tc>
          <w:tcPr>
            <w:tcW w:w="4117" w:type="pct"/>
          </w:tcPr>
          <w:p>
            <w:pPr>
              <w:spacing w:line="34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实验室有以下情况之一的：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</w:t>
            </w:r>
            <w:r>
              <w:rPr>
                <w:rFonts w:hint="eastAsia" w:eastAsia="仿宋_GB2312" w:cs="Times New Roman"/>
                <w:szCs w:val="24"/>
              </w:rPr>
              <w:t>原料或</w:t>
            </w:r>
            <w:r>
              <w:rPr>
                <w:rFonts w:eastAsia="仿宋_GB2312" w:cs="Times New Roman"/>
                <w:szCs w:val="24"/>
              </w:rPr>
              <w:t>产物含剧毒化学成分；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使用</w:t>
            </w:r>
            <w:r>
              <w:rPr>
                <w:rFonts w:eastAsia="仿宋_GB2312" w:cs="Times New Roman"/>
                <w:szCs w:val="24"/>
              </w:rPr>
              <w:t>剧毒化学品</w:t>
            </w:r>
            <w:r>
              <w:rPr>
                <w:rFonts w:hint="eastAsia" w:eastAsia="仿宋_GB2312" w:cs="Times New Roman"/>
                <w:szCs w:val="24"/>
              </w:rPr>
              <w:t>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存储第一类易制毒品、第一类精神药品；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存储易燃易爆化学品总量大于50kg或50L；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存储有毒、易燃气体总量≥6瓶；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生物安全</w:t>
            </w:r>
            <w:r>
              <w:rPr>
                <w:rFonts w:hint="eastAsia" w:eastAsia="仿宋_GB2312" w:cs="Times New Roman"/>
                <w:szCs w:val="24"/>
              </w:rPr>
              <w:t>BSL-</w:t>
            </w:r>
            <w:r>
              <w:rPr>
                <w:rFonts w:eastAsia="仿宋_GB2312" w:cs="Times New Roman"/>
                <w:szCs w:val="24"/>
              </w:rPr>
              <w:t>3</w:t>
            </w:r>
            <w:r>
              <w:rPr>
                <w:rFonts w:hint="eastAsia" w:eastAsia="仿宋_GB2312" w:cs="Times New Roman"/>
                <w:szCs w:val="24"/>
              </w:rPr>
              <w:t>、ABSL-3</w:t>
            </w:r>
            <w:r>
              <w:rPr>
                <w:rFonts w:eastAsia="仿宋_GB2312" w:cs="Times New Roman"/>
                <w:szCs w:val="24"/>
              </w:rPr>
              <w:t>、</w:t>
            </w:r>
            <w:r>
              <w:rPr>
                <w:rFonts w:hint="eastAsia" w:eastAsia="仿宋_GB2312" w:cs="Times New Roman"/>
                <w:szCs w:val="24"/>
              </w:rPr>
              <w:t>BSL-4、ABSL-</w:t>
            </w:r>
            <w:r>
              <w:rPr>
                <w:rFonts w:eastAsia="仿宋_GB2312" w:cs="Times New Roman"/>
                <w:szCs w:val="24"/>
              </w:rPr>
              <w:t>4实验室；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使用I、II类射线设备；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使用放射性同位素、放射源、核材料；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使用机电类特种设备；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使用超高压</w:t>
            </w:r>
            <w:r>
              <w:rPr>
                <w:rFonts w:hint="eastAsia" w:eastAsia="仿宋_GB2312" w:cs="Times New Roman"/>
                <w:szCs w:val="24"/>
              </w:rPr>
              <w:t>等</w:t>
            </w:r>
            <w:r>
              <w:rPr>
                <w:rFonts w:eastAsia="仿宋_GB2312" w:cs="Times New Roman"/>
                <w:szCs w:val="24"/>
              </w:rPr>
              <w:t>第三类压力容器；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使用强磁、强电设备；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使用4、3R、3B类激光设备；</w:t>
            </w:r>
          </w:p>
          <w:p>
            <w:pPr>
              <w:pStyle w:val="2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使用富氧涉爆</w:t>
            </w:r>
            <w:r>
              <w:rPr>
                <w:rFonts w:hint="eastAsia" w:eastAsia="仿宋_GB2312" w:cs="Times New Roman"/>
                <w:szCs w:val="24"/>
              </w:rPr>
              <w:t>实验室自制设备。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83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117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按照《高校实验室安全风险评价表》评分达到100分的实验室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883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Ⅱ级</w:t>
            </w:r>
            <w:r>
              <w:rPr>
                <w:rFonts w:hint="eastAsia" w:eastAsia="仿宋_GB2312" w:cs="Times New Roman"/>
                <w:szCs w:val="24"/>
              </w:rPr>
              <w:t>/橙色级</w:t>
            </w:r>
            <w:r>
              <w:rPr>
                <w:rFonts w:eastAsia="仿宋_GB2312" w:cs="Times New Roman"/>
                <w:szCs w:val="24"/>
              </w:rPr>
              <w:t>实验室</w:t>
            </w:r>
            <w:r>
              <w:rPr>
                <w:rFonts w:hint="eastAsia" w:eastAsia="仿宋_GB2312" w:cs="Times New Roman"/>
                <w:szCs w:val="24"/>
              </w:rPr>
              <w:t>（高风险实验室）</w:t>
            </w:r>
          </w:p>
        </w:tc>
        <w:tc>
          <w:tcPr>
            <w:tcW w:w="4117" w:type="pct"/>
          </w:tcPr>
          <w:p>
            <w:pPr>
              <w:spacing w:line="400" w:lineRule="exact"/>
              <w:ind w:left="720" w:hanging="72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实验室有以下情况之一的：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存储第二类精神药品；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存储易燃易爆化学品总量为20~50kg或20~50L；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存储有毒、易燃气体总量为</w:t>
            </w:r>
            <w:r>
              <w:rPr>
                <w:rFonts w:hint="eastAsia"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~6（不含）瓶；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生物安全</w:t>
            </w:r>
            <w:r>
              <w:rPr>
                <w:rFonts w:hint="eastAsia" w:eastAsia="仿宋_GB2312" w:cs="Times New Roman"/>
                <w:szCs w:val="24"/>
              </w:rPr>
              <w:t>BSL-</w:t>
            </w:r>
            <w:r>
              <w:rPr>
                <w:rFonts w:eastAsia="仿宋_GB2312" w:cs="Times New Roman"/>
                <w:szCs w:val="24"/>
              </w:rPr>
              <w:t>2</w:t>
            </w:r>
            <w:r>
              <w:rPr>
                <w:rFonts w:hint="eastAsia" w:eastAsia="仿宋_GB2312" w:cs="Times New Roman"/>
                <w:szCs w:val="24"/>
              </w:rPr>
              <w:t>、ABSL-2</w:t>
            </w:r>
            <w:r>
              <w:rPr>
                <w:rFonts w:eastAsia="仿宋_GB2312" w:cs="Times New Roman"/>
                <w:szCs w:val="24"/>
              </w:rPr>
              <w:t>实验室；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使用第一类、第二类压力容器；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存储、使用高能物质（脂肪基叠氮类、多氮唑类、苦味酸、2,4-二硝基苯酚、硝化甘油等）；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使用惰性气体总量</w:t>
            </w:r>
            <w:r>
              <w:rPr>
                <w:rFonts w:eastAsia="仿宋_GB2312" w:cs="Times New Roman"/>
                <w:szCs w:val="24"/>
              </w:rPr>
              <w:t>≥6瓶</w:t>
            </w:r>
            <w:r>
              <w:rPr>
                <w:rFonts w:hint="eastAsia" w:eastAsia="仿宋_GB2312" w:cs="Times New Roman"/>
                <w:szCs w:val="24"/>
              </w:rPr>
              <w:t>；</w:t>
            </w:r>
          </w:p>
          <w:p>
            <w:pPr>
              <w:pStyle w:val="22"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使用自主研发用于科学探索的非标设备设施（如高速设备、回转机械、铸造、热处理等电器或机械加工设备等）；</w:t>
            </w:r>
          </w:p>
          <w:p>
            <w:pPr>
              <w:pStyle w:val="22"/>
              <w:spacing w:line="400" w:lineRule="exact"/>
              <w:ind w:left="720" w:firstLine="0" w:firstLineChars="0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883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117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按照《高校实验室安全风险评价表》评分在</w:t>
            </w:r>
            <w:r>
              <w:rPr>
                <w:rFonts w:hint="eastAsia" w:eastAsia="仿宋_GB2312" w:cs="Times New Roman"/>
                <w:szCs w:val="24"/>
              </w:rPr>
              <w:t>（</w:t>
            </w:r>
            <w:r>
              <w:rPr>
                <w:rFonts w:eastAsia="仿宋_GB2312" w:cs="Times New Roman"/>
                <w:szCs w:val="24"/>
              </w:rPr>
              <w:t>75, 100</w:t>
            </w:r>
            <w:r>
              <w:rPr>
                <w:rFonts w:hint="eastAsia" w:eastAsia="仿宋_GB2312" w:cs="Times New Roman"/>
                <w:szCs w:val="24"/>
              </w:rPr>
              <w:t>）</w:t>
            </w:r>
            <w:r>
              <w:rPr>
                <w:rFonts w:eastAsia="仿宋_GB2312" w:cs="Times New Roman"/>
                <w:szCs w:val="24"/>
              </w:rPr>
              <w:t>范围的实验室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3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Ⅲ级</w:t>
            </w:r>
            <w:r>
              <w:rPr>
                <w:rFonts w:hint="eastAsia" w:eastAsia="仿宋_GB2312" w:cs="Times New Roman"/>
                <w:szCs w:val="24"/>
              </w:rPr>
              <w:t>/黄色级</w:t>
            </w:r>
            <w:r>
              <w:rPr>
                <w:rFonts w:eastAsia="仿宋_GB2312" w:cs="Times New Roman"/>
                <w:szCs w:val="24"/>
              </w:rPr>
              <w:t>实验室</w:t>
            </w:r>
            <w:r>
              <w:rPr>
                <w:rFonts w:hint="eastAsia" w:eastAsia="仿宋_GB2312" w:cs="Times New Roman"/>
                <w:szCs w:val="24"/>
              </w:rPr>
              <w:t>（中风险实验室）</w:t>
            </w:r>
          </w:p>
        </w:tc>
        <w:tc>
          <w:tcPr>
            <w:tcW w:w="4117" w:type="pct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实验室有以下情况之一的：</w:t>
            </w:r>
          </w:p>
          <w:p>
            <w:pPr>
              <w:pStyle w:val="2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存储第二/三类易制毒品</w:t>
            </w:r>
            <w:r>
              <w:rPr>
                <w:rFonts w:hint="eastAsia" w:eastAsia="仿宋_GB2312" w:cs="Times New Roman"/>
                <w:szCs w:val="24"/>
              </w:rPr>
              <w:t>或存储易制爆</w:t>
            </w:r>
            <w:r>
              <w:rPr>
                <w:rFonts w:eastAsia="仿宋_GB2312" w:cs="Times New Roman"/>
                <w:szCs w:val="24"/>
              </w:rPr>
              <w:t>；</w:t>
            </w:r>
          </w:p>
          <w:p>
            <w:pPr>
              <w:pStyle w:val="2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生物安全</w:t>
            </w:r>
            <w:r>
              <w:rPr>
                <w:rFonts w:hint="eastAsia" w:eastAsia="仿宋_GB2312" w:cs="Times New Roman"/>
                <w:szCs w:val="24"/>
              </w:rPr>
              <w:t>BSL-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hint="eastAsia" w:eastAsia="仿宋_GB2312" w:cs="Times New Roman"/>
                <w:szCs w:val="24"/>
              </w:rPr>
              <w:t>、ABSL-1</w:t>
            </w:r>
            <w:r>
              <w:rPr>
                <w:rFonts w:eastAsia="仿宋_GB2312" w:cs="Times New Roman"/>
                <w:szCs w:val="24"/>
              </w:rPr>
              <w:t>实验室；</w:t>
            </w:r>
          </w:p>
          <w:p>
            <w:pPr>
              <w:pStyle w:val="2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基础设备老化；</w:t>
            </w:r>
            <w:bookmarkStart w:id="1" w:name="_GoBack"/>
            <w:bookmarkEnd w:id="1"/>
          </w:p>
          <w:p>
            <w:pPr>
              <w:pStyle w:val="2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使用惰性气体总量1</w:t>
            </w:r>
            <w:r>
              <w:rPr>
                <w:rFonts w:eastAsia="仿宋_GB2312" w:cs="Times New Roman"/>
                <w:szCs w:val="24"/>
              </w:rPr>
              <w:t>~6（不含）瓶</w:t>
            </w:r>
            <w:r>
              <w:rPr>
                <w:rFonts w:hint="eastAsia" w:eastAsia="仿宋_GB2312" w:cs="Times New Roman"/>
                <w:szCs w:val="24"/>
              </w:rPr>
              <w:t>；</w:t>
            </w:r>
          </w:p>
          <w:p>
            <w:pPr>
              <w:pStyle w:val="2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高速设备、回转机械、冷热设备（冰箱、烘箱、马弗炉等）等电气及机械加工设备；</w:t>
            </w:r>
          </w:p>
          <w:p>
            <w:pPr>
              <w:pStyle w:val="22"/>
              <w:spacing w:line="400" w:lineRule="exact"/>
              <w:ind w:left="720" w:firstLine="0" w:firstLineChars="0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883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117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按照《高校实验室安全风险评价表》评分在</w:t>
            </w:r>
            <w:r>
              <w:rPr>
                <w:rFonts w:hint="eastAsia" w:eastAsia="仿宋_GB2312" w:cs="Times New Roman"/>
                <w:szCs w:val="24"/>
              </w:rPr>
              <w:t>（</w:t>
            </w:r>
            <w:r>
              <w:rPr>
                <w:rFonts w:eastAsia="仿宋_GB2312" w:cs="Times New Roman"/>
                <w:szCs w:val="24"/>
              </w:rPr>
              <w:t>25, 75</w:t>
            </w:r>
            <w:r>
              <w:rPr>
                <w:rFonts w:hint="eastAsia" w:eastAsia="仿宋_GB2312" w:cs="Times New Roman"/>
                <w:szCs w:val="24"/>
              </w:rPr>
              <w:t>）</w:t>
            </w:r>
            <w:r>
              <w:rPr>
                <w:rFonts w:eastAsia="仿宋_GB2312" w:cs="Times New Roman"/>
                <w:szCs w:val="24"/>
              </w:rPr>
              <w:t>范围的实验室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83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Ⅳ级</w:t>
            </w:r>
            <w:r>
              <w:rPr>
                <w:rFonts w:hint="eastAsia" w:eastAsia="仿宋_GB2312" w:cs="Times New Roman"/>
                <w:szCs w:val="24"/>
              </w:rPr>
              <w:t>/蓝色级</w:t>
            </w:r>
            <w:r>
              <w:rPr>
                <w:rFonts w:eastAsia="仿宋_GB2312" w:cs="Times New Roman"/>
                <w:szCs w:val="24"/>
              </w:rPr>
              <w:t>实验室</w:t>
            </w:r>
            <w:r>
              <w:rPr>
                <w:rFonts w:hint="eastAsia" w:eastAsia="仿宋_GB2312" w:cs="Times New Roman"/>
                <w:szCs w:val="24"/>
              </w:rPr>
              <w:t>（低风险实验室）</w:t>
            </w:r>
          </w:p>
        </w:tc>
        <w:tc>
          <w:tcPr>
            <w:tcW w:w="4117" w:type="pct"/>
          </w:tcPr>
          <w:p>
            <w:pPr>
              <w:pStyle w:val="22"/>
              <w:spacing w:line="240" w:lineRule="auto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实验室有以下情况之一的：</w:t>
            </w:r>
          </w:p>
          <w:p>
            <w:pPr>
              <w:pStyle w:val="22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不涉及重要危险源的实验室；</w:t>
            </w:r>
          </w:p>
          <w:p>
            <w:pPr>
              <w:pStyle w:val="22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主要涉及一般性消防安全、用电安全的实验室；</w:t>
            </w:r>
          </w:p>
          <w:p>
            <w:pPr>
              <w:pStyle w:val="22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未列入Ⅰ（红色）、Ⅱ（橙色）、Ⅲ（黄色）级的</w:t>
            </w:r>
            <w:r>
              <w:rPr>
                <w:rFonts w:eastAsia="仿宋_GB2312" w:cs="Times New Roman"/>
                <w:szCs w:val="24"/>
              </w:rPr>
              <w:t>其他情况</w:t>
            </w:r>
            <w:r>
              <w:rPr>
                <w:rFonts w:hint="eastAsia" w:eastAsia="仿宋_GB2312" w:cs="Times New Roman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883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117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按照《高校实验室安全风险评价表》评分在</w:t>
            </w:r>
            <w:r>
              <w:rPr>
                <w:rFonts w:hint="eastAsia" w:eastAsia="仿宋_GB2312" w:cs="Times New Roman"/>
                <w:szCs w:val="24"/>
              </w:rPr>
              <w:t>（</w:t>
            </w:r>
            <w:r>
              <w:rPr>
                <w:rFonts w:eastAsia="仿宋_GB2312" w:cs="Times New Roman"/>
                <w:szCs w:val="24"/>
              </w:rPr>
              <w:t>0, 25</w:t>
            </w:r>
            <w:r>
              <w:rPr>
                <w:rFonts w:hint="eastAsia" w:eastAsia="仿宋_GB2312" w:cs="Times New Roman"/>
                <w:szCs w:val="24"/>
              </w:rPr>
              <w:t>）</w:t>
            </w:r>
            <w:r>
              <w:rPr>
                <w:rFonts w:eastAsia="仿宋_GB2312" w:cs="Times New Roman"/>
                <w:szCs w:val="24"/>
              </w:rPr>
              <w:t>范围的实验室</w:t>
            </w:r>
          </w:p>
        </w:tc>
      </w:tr>
    </w:tbl>
    <w:p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注：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1.实验室分级先按表中各级实验室所对应的参考情况划分，无所列情况的，按《高校实验室安全风险评价表》进行累计评分确定等级。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2.对于既有本表所列参考情况，又有《高校实验室安全风险评价表》所列危险源的，取两者较高者所对应的实验室等级。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3.</w:t>
      </w:r>
      <w:r>
        <w:rPr>
          <w:rFonts w:eastAsia="仿宋_GB2312" w:cs="Times New Roman"/>
        </w:rPr>
        <w:t>易燃易爆化学品</w:t>
      </w:r>
      <w:r>
        <w:rPr>
          <w:rFonts w:hint="eastAsia" w:eastAsia="仿宋_GB2312" w:cs="Times New Roman"/>
        </w:rPr>
        <w:t>：具体详见危险化学品目录。常见的易燃易爆危化品如下：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24"/>
        <w:gridCol w:w="6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tabs>
                <w:tab w:val="left" w:pos="1920"/>
              </w:tabs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</w:rPr>
            </w:pPr>
            <w:r>
              <w:rPr>
                <w:rFonts w:hint="eastAsia" w:eastAsia="仿宋_GB2312" w:cs="Times New Roman"/>
                <w:b/>
              </w:rPr>
              <w:t>序号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</w:rPr>
            </w:pPr>
            <w:r>
              <w:rPr>
                <w:rFonts w:hint="eastAsia" w:eastAsia="仿宋_GB2312" w:cs="Times New Roman"/>
                <w:b/>
              </w:rPr>
              <w:t>类别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</w:rPr>
            </w:pPr>
            <w:r>
              <w:rPr>
                <w:rFonts w:hint="eastAsia" w:eastAsia="仿宋_GB2312" w:cs="Times New Roman"/>
                <w:b/>
              </w:rPr>
              <w:t>实验室常见的危化品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1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短链烷烃类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石油醚、戊烷、己烷、辛烷、汽油等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2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短链酯类（C3-C5）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甲酸乙酯、乙酸甲酯、乙酸乙酯等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3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短链醇类（C1-C5）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甲醇，乙醇、丙醇、异丙醇等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4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短链醛、酮类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乙醛、丙酮、甲乙酮、丙烯醛等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5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短链醚类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乙醚、四氢呋喃等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6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金属试剂类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烷基锂、烷基铝、羰基镍、钠、钾、镁、锌粉、铝等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7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多氮化合物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四唑类、重氮类、叠氮化钡等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8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过氧、超氧化物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双氧水、过氧化物、超氧化物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9</w:t>
            </w:r>
          </w:p>
        </w:tc>
        <w:tc>
          <w:tcPr>
            <w:tcW w:w="1252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易制爆的酸（盐）</w:t>
            </w:r>
          </w:p>
        </w:tc>
        <w:tc>
          <w:tcPr>
            <w:tcW w:w="3296" w:type="pct"/>
          </w:tcPr>
          <w:p>
            <w:pPr>
              <w:spacing w:line="240" w:lineRule="auto"/>
              <w:ind w:firstLine="0" w:firstLineChars="0"/>
              <w:rPr>
                <w:rFonts w:eastAsia="仿宋_GB2312" w:cs="Times New Roman"/>
              </w:rPr>
            </w:pPr>
            <w:r>
              <w:rPr>
                <w:rFonts w:hint="eastAsia" w:eastAsia="仿宋_GB2312" w:cs="Times New Roman"/>
              </w:rPr>
              <w:t>高氯酸、硝酸及其相应的盐类</w:t>
            </w:r>
          </w:p>
        </w:tc>
      </w:tr>
      <w:bookmarkEnd w:id="0"/>
    </w:tbl>
    <w:p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900" w:h="16840"/>
      <w:pgMar w:top="1418" w:right="1418" w:bottom="1418" w:left="1418" w:header="567" w:footer="1134" w:gutter="0"/>
      <w:pgNumType w:start="12"/>
      <w:cols w:space="425" w:num="1"/>
      <w:docGrid w:type="linesAndChar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0923525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8"/>
          <w:spacing w:line="240" w:lineRule="auto"/>
          <w:ind w:firstLine="0" w:firstLineChars="0"/>
          <w:jc w:val="center"/>
          <w:rPr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0253F"/>
    <w:multiLevelType w:val="multilevel"/>
    <w:tmpl w:val="1E00253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F83913"/>
    <w:multiLevelType w:val="multilevel"/>
    <w:tmpl w:val="34F839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1E2370"/>
    <w:multiLevelType w:val="multilevel"/>
    <w:tmpl w:val="6B1E23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11A52BB"/>
    <w:multiLevelType w:val="multilevel"/>
    <w:tmpl w:val="711A52B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GU0YjMyYjFhOTY0NjZjYWEzODY2OGYzNzFkYzMifQ=="/>
    <w:docVar w:name="KSO_WPS_MARK_KEY" w:val="34cdb54a-c074-42a7-8ce9-3776cc48ed67"/>
  </w:docVars>
  <w:rsids>
    <w:rsidRoot w:val="00172A27"/>
    <w:rsid w:val="000018C8"/>
    <w:rsid w:val="00004CA2"/>
    <w:rsid w:val="00007B02"/>
    <w:rsid w:val="00015E28"/>
    <w:rsid w:val="00031EA3"/>
    <w:rsid w:val="000352F8"/>
    <w:rsid w:val="00037793"/>
    <w:rsid w:val="00054B8E"/>
    <w:rsid w:val="00055D95"/>
    <w:rsid w:val="000576F1"/>
    <w:rsid w:val="0006220B"/>
    <w:rsid w:val="00065B51"/>
    <w:rsid w:val="0006693D"/>
    <w:rsid w:val="000906AE"/>
    <w:rsid w:val="00091AF1"/>
    <w:rsid w:val="00092C85"/>
    <w:rsid w:val="000B3CD1"/>
    <w:rsid w:val="000B6BA2"/>
    <w:rsid w:val="000C59A2"/>
    <w:rsid w:val="000F1459"/>
    <w:rsid w:val="00104C39"/>
    <w:rsid w:val="001075AC"/>
    <w:rsid w:val="00110C08"/>
    <w:rsid w:val="001121B3"/>
    <w:rsid w:val="0012335A"/>
    <w:rsid w:val="00123AFD"/>
    <w:rsid w:val="0013411F"/>
    <w:rsid w:val="0014045D"/>
    <w:rsid w:val="00163BAB"/>
    <w:rsid w:val="001652C7"/>
    <w:rsid w:val="001669D4"/>
    <w:rsid w:val="001702C5"/>
    <w:rsid w:val="00171CE7"/>
    <w:rsid w:val="00172A27"/>
    <w:rsid w:val="0017502B"/>
    <w:rsid w:val="00184D25"/>
    <w:rsid w:val="00191828"/>
    <w:rsid w:val="001A0BC6"/>
    <w:rsid w:val="001A2E65"/>
    <w:rsid w:val="001A3267"/>
    <w:rsid w:val="001A3967"/>
    <w:rsid w:val="001C69A4"/>
    <w:rsid w:val="001E5847"/>
    <w:rsid w:val="001F495C"/>
    <w:rsid w:val="00201213"/>
    <w:rsid w:val="00236726"/>
    <w:rsid w:val="00243D75"/>
    <w:rsid w:val="002457AE"/>
    <w:rsid w:val="00252F91"/>
    <w:rsid w:val="00257FAC"/>
    <w:rsid w:val="00262CE8"/>
    <w:rsid w:val="00285EB4"/>
    <w:rsid w:val="00286A3D"/>
    <w:rsid w:val="00291592"/>
    <w:rsid w:val="002C0D33"/>
    <w:rsid w:val="002C5B3D"/>
    <w:rsid w:val="002E0B24"/>
    <w:rsid w:val="002E2F90"/>
    <w:rsid w:val="002F2FAC"/>
    <w:rsid w:val="002F658F"/>
    <w:rsid w:val="003025C2"/>
    <w:rsid w:val="00302B40"/>
    <w:rsid w:val="00303B70"/>
    <w:rsid w:val="0030467C"/>
    <w:rsid w:val="00340D4C"/>
    <w:rsid w:val="00365F25"/>
    <w:rsid w:val="00383246"/>
    <w:rsid w:val="003845D2"/>
    <w:rsid w:val="003A4E73"/>
    <w:rsid w:val="003A7219"/>
    <w:rsid w:val="003B2B01"/>
    <w:rsid w:val="003B491E"/>
    <w:rsid w:val="003C13B3"/>
    <w:rsid w:val="003C1C0E"/>
    <w:rsid w:val="003C1CCF"/>
    <w:rsid w:val="003D2CA0"/>
    <w:rsid w:val="003D3111"/>
    <w:rsid w:val="003D66AA"/>
    <w:rsid w:val="003F27F3"/>
    <w:rsid w:val="003F39A8"/>
    <w:rsid w:val="003F4EC8"/>
    <w:rsid w:val="00402317"/>
    <w:rsid w:val="00403223"/>
    <w:rsid w:val="00405075"/>
    <w:rsid w:val="00414F05"/>
    <w:rsid w:val="0042172B"/>
    <w:rsid w:val="00422B2D"/>
    <w:rsid w:val="004367C3"/>
    <w:rsid w:val="00441BD6"/>
    <w:rsid w:val="00450723"/>
    <w:rsid w:val="00454B46"/>
    <w:rsid w:val="00454CAC"/>
    <w:rsid w:val="00456EA0"/>
    <w:rsid w:val="004629D7"/>
    <w:rsid w:val="00466C53"/>
    <w:rsid w:val="00470E49"/>
    <w:rsid w:val="00475D86"/>
    <w:rsid w:val="004769A8"/>
    <w:rsid w:val="00491374"/>
    <w:rsid w:val="0049674C"/>
    <w:rsid w:val="004A0F04"/>
    <w:rsid w:val="004A33F7"/>
    <w:rsid w:val="004B00BB"/>
    <w:rsid w:val="004B23BC"/>
    <w:rsid w:val="004D2AD9"/>
    <w:rsid w:val="004F0015"/>
    <w:rsid w:val="004F2F04"/>
    <w:rsid w:val="004F6897"/>
    <w:rsid w:val="004F6E98"/>
    <w:rsid w:val="0050299D"/>
    <w:rsid w:val="00507CCF"/>
    <w:rsid w:val="0052092D"/>
    <w:rsid w:val="00525803"/>
    <w:rsid w:val="00530265"/>
    <w:rsid w:val="00533776"/>
    <w:rsid w:val="00533C34"/>
    <w:rsid w:val="00540525"/>
    <w:rsid w:val="005503AC"/>
    <w:rsid w:val="0055151C"/>
    <w:rsid w:val="00551A3E"/>
    <w:rsid w:val="005529C6"/>
    <w:rsid w:val="005621E5"/>
    <w:rsid w:val="005645C2"/>
    <w:rsid w:val="00566F7A"/>
    <w:rsid w:val="00571CE6"/>
    <w:rsid w:val="0057753D"/>
    <w:rsid w:val="00583AA0"/>
    <w:rsid w:val="00591041"/>
    <w:rsid w:val="00591CFA"/>
    <w:rsid w:val="005A279C"/>
    <w:rsid w:val="005C6E92"/>
    <w:rsid w:val="005D115E"/>
    <w:rsid w:val="005E6F96"/>
    <w:rsid w:val="005F2EB5"/>
    <w:rsid w:val="005F4AB3"/>
    <w:rsid w:val="0060461B"/>
    <w:rsid w:val="006202B8"/>
    <w:rsid w:val="006305FF"/>
    <w:rsid w:val="00633EEF"/>
    <w:rsid w:val="006350E6"/>
    <w:rsid w:val="00650B1D"/>
    <w:rsid w:val="006539CE"/>
    <w:rsid w:val="00660A40"/>
    <w:rsid w:val="00661FBC"/>
    <w:rsid w:val="006775CD"/>
    <w:rsid w:val="00684E8F"/>
    <w:rsid w:val="00685AB1"/>
    <w:rsid w:val="00685FC6"/>
    <w:rsid w:val="00694115"/>
    <w:rsid w:val="00694316"/>
    <w:rsid w:val="00697646"/>
    <w:rsid w:val="006A3B22"/>
    <w:rsid w:val="006A742D"/>
    <w:rsid w:val="006B3202"/>
    <w:rsid w:val="006B7FD4"/>
    <w:rsid w:val="006D5393"/>
    <w:rsid w:val="006D652D"/>
    <w:rsid w:val="006F1C75"/>
    <w:rsid w:val="006F25E3"/>
    <w:rsid w:val="006F454F"/>
    <w:rsid w:val="006F5CFA"/>
    <w:rsid w:val="00701EA6"/>
    <w:rsid w:val="00702727"/>
    <w:rsid w:val="00716647"/>
    <w:rsid w:val="00723AE2"/>
    <w:rsid w:val="00741667"/>
    <w:rsid w:val="00747E99"/>
    <w:rsid w:val="00752043"/>
    <w:rsid w:val="00752B1A"/>
    <w:rsid w:val="007537B7"/>
    <w:rsid w:val="00754D2A"/>
    <w:rsid w:val="00754D59"/>
    <w:rsid w:val="00756DEB"/>
    <w:rsid w:val="0076393C"/>
    <w:rsid w:val="007648CB"/>
    <w:rsid w:val="00765F5D"/>
    <w:rsid w:val="007666A9"/>
    <w:rsid w:val="00770438"/>
    <w:rsid w:val="00783F8C"/>
    <w:rsid w:val="007B06DD"/>
    <w:rsid w:val="007B363B"/>
    <w:rsid w:val="007C1C71"/>
    <w:rsid w:val="007C4BE9"/>
    <w:rsid w:val="007C5282"/>
    <w:rsid w:val="007D3311"/>
    <w:rsid w:val="007F0D1C"/>
    <w:rsid w:val="007F2A43"/>
    <w:rsid w:val="007F3D32"/>
    <w:rsid w:val="007F5FC9"/>
    <w:rsid w:val="00800599"/>
    <w:rsid w:val="00800D60"/>
    <w:rsid w:val="00815D14"/>
    <w:rsid w:val="008237CA"/>
    <w:rsid w:val="00823C08"/>
    <w:rsid w:val="00824928"/>
    <w:rsid w:val="00826516"/>
    <w:rsid w:val="008301BF"/>
    <w:rsid w:val="00831081"/>
    <w:rsid w:val="00840FD5"/>
    <w:rsid w:val="00844629"/>
    <w:rsid w:val="00852BD7"/>
    <w:rsid w:val="00857747"/>
    <w:rsid w:val="0086504C"/>
    <w:rsid w:val="008827B3"/>
    <w:rsid w:val="008865C2"/>
    <w:rsid w:val="008908C1"/>
    <w:rsid w:val="00890AE2"/>
    <w:rsid w:val="00891137"/>
    <w:rsid w:val="00891BB2"/>
    <w:rsid w:val="008A360E"/>
    <w:rsid w:val="008A5A9B"/>
    <w:rsid w:val="008A7170"/>
    <w:rsid w:val="008B1887"/>
    <w:rsid w:val="008B2EE9"/>
    <w:rsid w:val="008B7583"/>
    <w:rsid w:val="008E46C3"/>
    <w:rsid w:val="008E50FE"/>
    <w:rsid w:val="008F180B"/>
    <w:rsid w:val="008F664C"/>
    <w:rsid w:val="00906943"/>
    <w:rsid w:val="00910295"/>
    <w:rsid w:val="00910786"/>
    <w:rsid w:val="00923A1F"/>
    <w:rsid w:val="0096100B"/>
    <w:rsid w:val="009613D0"/>
    <w:rsid w:val="00970D74"/>
    <w:rsid w:val="00972C15"/>
    <w:rsid w:val="00973424"/>
    <w:rsid w:val="00975761"/>
    <w:rsid w:val="00975B67"/>
    <w:rsid w:val="009879A2"/>
    <w:rsid w:val="009A3A27"/>
    <w:rsid w:val="009A62C9"/>
    <w:rsid w:val="009A7D00"/>
    <w:rsid w:val="009B12A1"/>
    <w:rsid w:val="009B1A7E"/>
    <w:rsid w:val="009B26A5"/>
    <w:rsid w:val="009B758A"/>
    <w:rsid w:val="009C3A3C"/>
    <w:rsid w:val="009D1855"/>
    <w:rsid w:val="009D5128"/>
    <w:rsid w:val="009D6D59"/>
    <w:rsid w:val="009E1CFA"/>
    <w:rsid w:val="00A07394"/>
    <w:rsid w:val="00A077BA"/>
    <w:rsid w:val="00A16213"/>
    <w:rsid w:val="00A20274"/>
    <w:rsid w:val="00A243B1"/>
    <w:rsid w:val="00A43075"/>
    <w:rsid w:val="00A433C1"/>
    <w:rsid w:val="00A476FA"/>
    <w:rsid w:val="00A53B5B"/>
    <w:rsid w:val="00A5792F"/>
    <w:rsid w:val="00A615C8"/>
    <w:rsid w:val="00A91FE6"/>
    <w:rsid w:val="00A95A16"/>
    <w:rsid w:val="00A97B0F"/>
    <w:rsid w:val="00AA242D"/>
    <w:rsid w:val="00AA6FEA"/>
    <w:rsid w:val="00AB3127"/>
    <w:rsid w:val="00AC1A90"/>
    <w:rsid w:val="00AD2DF1"/>
    <w:rsid w:val="00AD30F3"/>
    <w:rsid w:val="00AD762C"/>
    <w:rsid w:val="00AE39BE"/>
    <w:rsid w:val="00AE46FE"/>
    <w:rsid w:val="00AE49F4"/>
    <w:rsid w:val="00AF07F8"/>
    <w:rsid w:val="00AF7F79"/>
    <w:rsid w:val="00B000EC"/>
    <w:rsid w:val="00B01CEB"/>
    <w:rsid w:val="00B06149"/>
    <w:rsid w:val="00B1126A"/>
    <w:rsid w:val="00B15B75"/>
    <w:rsid w:val="00B2022B"/>
    <w:rsid w:val="00B204E4"/>
    <w:rsid w:val="00B22591"/>
    <w:rsid w:val="00B229DB"/>
    <w:rsid w:val="00B369A7"/>
    <w:rsid w:val="00B53700"/>
    <w:rsid w:val="00B53BBC"/>
    <w:rsid w:val="00B67E5A"/>
    <w:rsid w:val="00B93F2F"/>
    <w:rsid w:val="00BA453C"/>
    <w:rsid w:val="00BA6733"/>
    <w:rsid w:val="00BB010E"/>
    <w:rsid w:val="00BB2C03"/>
    <w:rsid w:val="00BC3428"/>
    <w:rsid w:val="00BC672B"/>
    <w:rsid w:val="00BD0466"/>
    <w:rsid w:val="00BE41E2"/>
    <w:rsid w:val="00BE43C1"/>
    <w:rsid w:val="00BE4AB0"/>
    <w:rsid w:val="00BE5F29"/>
    <w:rsid w:val="00C104C5"/>
    <w:rsid w:val="00C12EAB"/>
    <w:rsid w:val="00C15222"/>
    <w:rsid w:val="00C21D3B"/>
    <w:rsid w:val="00C22427"/>
    <w:rsid w:val="00C22E0F"/>
    <w:rsid w:val="00C2569C"/>
    <w:rsid w:val="00C27F02"/>
    <w:rsid w:val="00C30DD9"/>
    <w:rsid w:val="00C40107"/>
    <w:rsid w:val="00C413D2"/>
    <w:rsid w:val="00C43A2B"/>
    <w:rsid w:val="00C50526"/>
    <w:rsid w:val="00C53345"/>
    <w:rsid w:val="00C53E43"/>
    <w:rsid w:val="00C80803"/>
    <w:rsid w:val="00C87A55"/>
    <w:rsid w:val="00C91979"/>
    <w:rsid w:val="00C95516"/>
    <w:rsid w:val="00CA60E7"/>
    <w:rsid w:val="00CA64EC"/>
    <w:rsid w:val="00CB568C"/>
    <w:rsid w:val="00CC040B"/>
    <w:rsid w:val="00CD0C7F"/>
    <w:rsid w:val="00CD4FA3"/>
    <w:rsid w:val="00CD62F5"/>
    <w:rsid w:val="00D004A9"/>
    <w:rsid w:val="00D028E2"/>
    <w:rsid w:val="00D10C7A"/>
    <w:rsid w:val="00D20A23"/>
    <w:rsid w:val="00D22401"/>
    <w:rsid w:val="00D347EC"/>
    <w:rsid w:val="00D360DE"/>
    <w:rsid w:val="00D43E43"/>
    <w:rsid w:val="00D63ED7"/>
    <w:rsid w:val="00D65219"/>
    <w:rsid w:val="00D66403"/>
    <w:rsid w:val="00D714CB"/>
    <w:rsid w:val="00D71E36"/>
    <w:rsid w:val="00D735A7"/>
    <w:rsid w:val="00D76C31"/>
    <w:rsid w:val="00D84E2E"/>
    <w:rsid w:val="00DA1783"/>
    <w:rsid w:val="00DA3D23"/>
    <w:rsid w:val="00DA7462"/>
    <w:rsid w:val="00DB0264"/>
    <w:rsid w:val="00DB133D"/>
    <w:rsid w:val="00DB4C89"/>
    <w:rsid w:val="00DC0F6F"/>
    <w:rsid w:val="00DC4F0E"/>
    <w:rsid w:val="00DE0593"/>
    <w:rsid w:val="00DF590C"/>
    <w:rsid w:val="00E00823"/>
    <w:rsid w:val="00E00F78"/>
    <w:rsid w:val="00E01A9D"/>
    <w:rsid w:val="00E16285"/>
    <w:rsid w:val="00E2367D"/>
    <w:rsid w:val="00E33CB5"/>
    <w:rsid w:val="00E402ED"/>
    <w:rsid w:val="00E466D3"/>
    <w:rsid w:val="00E568E7"/>
    <w:rsid w:val="00E57152"/>
    <w:rsid w:val="00E60F22"/>
    <w:rsid w:val="00E62910"/>
    <w:rsid w:val="00E9002B"/>
    <w:rsid w:val="00E93334"/>
    <w:rsid w:val="00E95673"/>
    <w:rsid w:val="00E97F49"/>
    <w:rsid w:val="00EA41DC"/>
    <w:rsid w:val="00EB1327"/>
    <w:rsid w:val="00EB25F3"/>
    <w:rsid w:val="00EB7F16"/>
    <w:rsid w:val="00ED11F1"/>
    <w:rsid w:val="00ED1FDB"/>
    <w:rsid w:val="00ED3C12"/>
    <w:rsid w:val="00ED5945"/>
    <w:rsid w:val="00ED66A7"/>
    <w:rsid w:val="00EE7C67"/>
    <w:rsid w:val="00EF30A9"/>
    <w:rsid w:val="00EF37D2"/>
    <w:rsid w:val="00EF7BCE"/>
    <w:rsid w:val="00F26036"/>
    <w:rsid w:val="00F31113"/>
    <w:rsid w:val="00F46342"/>
    <w:rsid w:val="00F764CF"/>
    <w:rsid w:val="00F8149D"/>
    <w:rsid w:val="00F824AB"/>
    <w:rsid w:val="00F944B7"/>
    <w:rsid w:val="00F96FF8"/>
    <w:rsid w:val="00FA058F"/>
    <w:rsid w:val="00FA313D"/>
    <w:rsid w:val="00FA4EDB"/>
    <w:rsid w:val="00FA79A4"/>
    <w:rsid w:val="00FB2479"/>
    <w:rsid w:val="00FC0B92"/>
    <w:rsid w:val="00FF6B91"/>
    <w:rsid w:val="010A2169"/>
    <w:rsid w:val="01522315"/>
    <w:rsid w:val="01934415"/>
    <w:rsid w:val="0231074F"/>
    <w:rsid w:val="02372EAB"/>
    <w:rsid w:val="02814DBA"/>
    <w:rsid w:val="028E41AC"/>
    <w:rsid w:val="02C40969"/>
    <w:rsid w:val="02FD423D"/>
    <w:rsid w:val="037B3BCB"/>
    <w:rsid w:val="047A39D5"/>
    <w:rsid w:val="04B21A43"/>
    <w:rsid w:val="059648AF"/>
    <w:rsid w:val="05990BFB"/>
    <w:rsid w:val="05F67F28"/>
    <w:rsid w:val="06085109"/>
    <w:rsid w:val="06584C7B"/>
    <w:rsid w:val="06771F57"/>
    <w:rsid w:val="06840E03"/>
    <w:rsid w:val="06A27FAC"/>
    <w:rsid w:val="06E25862"/>
    <w:rsid w:val="06E46C11"/>
    <w:rsid w:val="07573AF9"/>
    <w:rsid w:val="07E31891"/>
    <w:rsid w:val="07FA2D7A"/>
    <w:rsid w:val="08135F0E"/>
    <w:rsid w:val="082D75A0"/>
    <w:rsid w:val="085D3B06"/>
    <w:rsid w:val="088970C6"/>
    <w:rsid w:val="088A4F5C"/>
    <w:rsid w:val="08956BB2"/>
    <w:rsid w:val="0A2148F3"/>
    <w:rsid w:val="0A374116"/>
    <w:rsid w:val="0AD23916"/>
    <w:rsid w:val="0B2D4ECE"/>
    <w:rsid w:val="0B35399D"/>
    <w:rsid w:val="0B4E03D9"/>
    <w:rsid w:val="0B5A00BC"/>
    <w:rsid w:val="0B771008"/>
    <w:rsid w:val="0B8F3298"/>
    <w:rsid w:val="0BC2524F"/>
    <w:rsid w:val="0BCB4555"/>
    <w:rsid w:val="0C362BC1"/>
    <w:rsid w:val="0C591439"/>
    <w:rsid w:val="0D5D1E8C"/>
    <w:rsid w:val="0DD04666"/>
    <w:rsid w:val="0DF04D08"/>
    <w:rsid w:val="0E384AA4"/>
    <w:rsid w:val="0E764C4E"/>
    <w:rsid w:val="0E9F4E98"/>
    <w:rsid w:val="0EB7423E"/>
    <w:rsid w:val="0F380715"/>
    <w:rsid w:val="101E670C"/>
    <w:rsid w:val="1029627E"/>
    <w:rsid w:val="10351DAB"/>
    <w:rsid w:val="103920DC"/>
    <w:rsid w:val="105F015B"/>
    <w:rsid w:val="105F12C2"/>
    <w:rsid w:val="108A4866"/>
    <w:rsid w:val="109201E2"/>
    <w:rsid w:val="110C10AD"/>
    <w:rsid w:val="121164A4"/>
    <w:rsid w:val="12334081"/>
    <w:rsid w:val="12500441"/>
    <w:rsid w:val="12A746E6"/>
    <w:rsid w:val="12F26B7A"/>
    <w:rsid w:val="12F95CCF"/>
    <w:rsid w:val="1302191C"/>
    <w:rsid w:val="138959E3"/>
    <w:rsid w:val="13916645"/>
    <w:rsid w:val="14664130"/>
    <w:rsid w:val="148530C5"/>
    <w:rsid w:val="1520504B"/>
    <w:rsid w:val="153F6D84"/>
    <w:rsid w:val="154D47EE"/>
    <w:rsid w:val="15C93DA0"/>
    <w:rsid w:val="15EE5FD1"/>
    <w:rsid w:val="16190AD1"/>
    <w:rsid w:val="162274BF"/>
    <w:rsid w:val="16353C00"/>
    <w:rsid w:val="16380745"/>
    <w:rsid w:val="166E013E"/>
    <w:rsid w:val="16A00F8B"/>
    <w:rsid w:val="16B74615"/>
    <w:rsid w:val="17114775"/>
    <w:rsid w:val="1758583B"/>
    <w:rsid w:val="17731103"/>
    <w:rsid w:val="17936F4D"/>
    <w:rsid w:val="17B009C9"/>
    <w:rsid w:val="17CC63B4"/>
    <w:rsid w:val="17CF13B6"/>
    <w:rsid w:val="183C11E5"/>
    <w:rsid w:val="184C6FDF"/>
    <w:rsid w:val="188E5849"/>
    <w:rsid w:val="19C618EC"/>
    <w:rsid w:val="19D03326"/>
    <w:rsid w:val="1A2C0FB5"/>
    <w:rsid w:val="1B2A5AE4"/>
    <w:rsid w:val="1B481EA2"/>
    <w:rsid w:val="1B5C7BAC"/>
    <w:rsid w:val="1B5E7755"/>
    <w:rsid w:val="1B971F0C"/>
    <w:rsid w:val="1BA432A8"/>
    <w:rsid w:val="1C281B11"/>
    <w:rsid w:val="1CDE3150"/>
    <w:rsid w:val="1D0E0D07"/>
    <w:rsid w:val="1D1F7181"/>
    <w:rsid w:val="1D2547F1"/>
    <w:rsid w:val="1D266050"/>
    <w:rsid w:val="1DC3391D"/>
    <w:rsid w:val="1DCA202E"/>
    <w:rsid w:val="1DCC59D1"/>
    <w:rsid w:val="1E0208EF"/>
    <w:rsid w:val="1EA53D15"/>
    <w:rsid w:val="1EB75070"/>
    <w:rsid w:val="1EB86B8A"/>
    <w:rsid w:val="1F0E7506"/>
    <w:rsid w:val="1F7C215B"/>
    <w:rsid w:val="1FA808F8"/>
    <w:rsid w:val="1FF97A4C"/>
    <w:rsid w:val="208059D7"/>
    <w:rsid w:val="20831D29"/>
    <w:rsid w:val="20860DAE"/>
    <w:rsid w:val="213F27E0"/>
    <w:rsid w:val="21581DF1"/>
    <w:rsid w:val="217A2AC7"/>
    <w:rsid w:val="21836134"/>
    <w:rsid w:val="218B35BD"/>
    <w:rsid w:val="219263AA"/>
    <w:rsid w:val="21C05821"/>
    <w:rsid w:val="222E2911"/>
    <w:rsid w:val="227677F5"/>
    <w:rsid w:val="23052CDA"/>
    <w:rsid w:val="23131590"/>
    <w:rsid w:val="23170081"/>
    <w:rsid w:val="23494ECF"/>
    <w:rsid w:val="238620D3"/>
    <w:rsid w:val="23B94230"/>
    <w:rsid w:val="23C22C98"/>
    <w:rsid w:val="23DD36F6"/>
    <w:rsid w:val="242F7D92"/>
    <w:rsid w:val="2444261C"/>
    <w:rsid w:val="248624B2"/>
    <w:rsid w:val="2489678F"/>
    <w:rsid w:val="24967286"/>
    <w:rsid w:val="24B30B11"/>
    <w:rsid w:val="24C43A25"/>
    <w:rsid w:val="24CC5C1F"/>
    <w:rsid w:val="24CF4041"/>
    <w:rsid w:val="25215C0D"/>
    <w:rsid w:val="254937DF"/>
    <w:rsid w:val="259C77F7"/>
    <w:rsid w:val="25B16B12"/>
    <w:rsid w:val="25D83EF7"/>
    <w:rsid w:val="2665085B"/>
    <w:rsid w:val="26D379AA"/>
    <w:rsid w:val="26E42886"/>
    <w:rsid w:val="2768544E"/>
    <w:rsid w:val="28F14C70"/>
    <w:rsid w:val="294E0E09"/>
    <w:rsid w:val="2996455E"/>
    <w:rsid w:val="29E50801"/>
    <w:rsid w:val="2A0639E1"/>
    <w:rsid w:val="2A564CF0"/>
    <w:rsid w:val="2AA15DA0"/>
    <w:rsid w:val="2ADA5069"/>
    <w:rsid w:val="2B2E75C8"/>
    <w:rsid w:val="2B353BFF"/>
    <w:rsid w:val="2BFD7B84"/>
    <w:rsid w:val="2C0B2FE1"/>
    <w:rsid w:val="2C104AC0"/>
    <w:rsid w:val="2C5769FA"/>
    <w:rsid w:val="2CB02AC6"/>
    <w:rsid w:val="2CDD117C"/>
    <w:rsid w:val="2D324BCA"/>
    <w:rsid w:val="2D622151"/>
    <w:rsid w:val="2DA105FB"/>
    <w:rsid w:val="2DB42800"/>
    <w:rsid w:val="2DBE7F47"/>
    <w:rsid w:val="2E1D1A18"/>
    <w:rsid w:val="2E417D64"/>
    <w:rsid w:val="2E7172D5"/>
    <w:rsid w:val="2EBA1255"/>
    <w:rsid w:val="2F0E4B96"/>
    <w:rsid w:val="2F45683C"/>
    <w:rsid w:val="2F48555A"/>
    <w:rsid w:val="2F5707D5"/>
    <w:rsid w:val="2F724FD5"/>
    <w:rsid w:val="2FB75846"/>
    <w:rsid w:val="30E450F8"/>
    <w:rsid w:val="30F537B2"/>
    <w:rsid w:val="31262903"/>
    <w:rsid w:val="313738D0"/>
    <w:rsid w:val="317A4765"/>
    <w:rsid w:val="322E543B"/>
    <w:rsid w:val="324828B1"/>
    <w:rsid w:val="325B4F8A"/>
    <w:rsid w:val="32E848CE"/>
    <w:rsid w:val="332373C0"/>
    <w:rsid w:val="33571989"/>
    <w:rsid w:val="338B4A07"/>
    <w:rsid w:val="33A5157F"/>
    <w:rsid w:val="33BB7098"/>
    <w:rsid w:val="33C125DB"/>
    <w:rsid w:val="34335667"/>
    <w:rsid w:val="34630376"/>
    <w:rsid w:val="34AF3DE3"/>
    <w:rsid w:val="350A4239"/>
    <w:rsid w:val="35294FA5"/>
    <w:rsid w:val="35657F61"/>
    <w:rsid w:val="3577128E"/>
    <w:rsid w:val="35DF4197"/>
    <w:rsid w:val="3610124B"/>
    <w:rsid w:val="36285BF5"/>
    <w:rsid w:val="36700439"/>
    <w:rsid w:val="36A37E72"/>
    <w:rsid w:val="36D36DF1"/>
    <w:rsid w:val="36FF235E"/>
    <w:rsid w:val="374F16D2"/>
    <w:rsid w:val="381B7F02"/>
    <w:rsid w:val="385D5A7C"/>
    <w:rsid w:val="386D08FE"/>
    <w:rsid w:val="38960718"/>
    <w:rsid w:val="38967FD5"/>
    <w:rsid w:val="38A46CA2"/>
    <w:rsid w:val="38D94069"/>
    <w:rsid w:val="38F60B75"/>
    <w:rsid w:val="39B76556"/>
    <w:rsid w:val="39D236E8"/>
    <w:rsid w:val="3A0A5454"/>
    <w:rsid w:val="3A5D7130"/>
    <w:rsid w:val="3AC325CA"/>
    <w:rsid w:val="3B5D312D"/>
    <w:rsid w:val="3BAC26AF"/>
    <w:rsid w:val="3BBF1287"/>
    <w:rsid w:val="3C091147"/>
    <w:rsid w:val="3D4F68C0"/>
    <w:rsid w:val="3D566301"/>
    <w:rsid w:val="3D632B27"/>
    <w:rsid w:val="3D686779"/>
    <w:rsid w:val="3DED091C"/>
    <w:rsid w:val="3ED213DB"/>
    <w:rsid w:val="40164BCF"/>
    <w:rsid w:val="402E7586"/>
    <w:rsid w:val="404C2229"/>
    <w:rsid w:val="40750B6D"/>
    <w:rsid w:val="40A765B9"/>
    <w:rsid w:val="415553F1"/>
    <w:rsid w:val="417E223F"/>
    <w:rsid w:val="41B300B6"/>
    <w:rsid w:val="41D25BC6"/>
    <w:rsid w:val="41E73D28"/>
    <w:rsid w:val="41F87F1F"/>
    <w:rsid w:val="425A02DC"/>
    <w:rsid w:val="425E2DCE"/>
    <w:rsid w:val="428A2077"/>
    <w:rsid w:val="42B2494A"/>
    <w:rsid w:val="42C13892"/>
    <w:rsid w:val="437C436D"/>
    <w:rsid w:val="437E1239"/>
    <w:rsid w:val="439A5CAB"/>
    <w:rsid w:val="43C75114"/>
    <w:rsid w:val="43D22BFF"/>
    <w:rsid w:val="43D32DEF"/>
    <w:rsid w:val="43DF14EC"/>
    <w:rsid w:val="43E874C0"/>
    <w:rsid w:val="44147E9F"/>
    <w:rsid w:val="443F7480"/>
    <w:rsid w:val="44476D7A"/>
    <w:rsid w:val="44631E0F"/>
    <w:rsid w:val="44A22E28"/>
    <w:rsid w:val="45381CFA"/>
    <w:rsid w:val="456A5861"/>
    <w:rsid w:val="456A6AE6"/>
    <w:rsid w:val="45806691"/>
    <w:rsid w:val="45A4384A"/>
    <w:rsid w:val="45FD35D1"/>
    <w:rsid w:val="462E1ACF"/>
    <w:rsid w:val="46F47A2F"/>
    <w:rsid w:val="46FF658E"/>
    <w:rsid w:val="470D4FF2"/>
    <w:rsid w:val="4722090C"/>
    <w:rsid w:val="4728376C"/>
    <w:rsid w:val="4781471C"/>
    <w:rsid w:val="47952AA8"/>
    <w:rsid w:val="47F66F93"/>
    <w:rsid w:val="481C2340"/>
    <w:rsid w:val="484F3E01"/>
    <w:rsid w:val="487B2F9F"/>
    <w:rsid w:val="4882013D"/>
    <w:rsid w:val="48A57EC2"/>
    <w:rsid w:val="48D5723A"/>
    <w:rsid w:val="49492F43"/>
    <w:rsid w:val="49601FFF"/>
    <w:rsid w:val="49875290"/>
    <w:rsid w:val="49936BBF"/>
    <w:rsid w:val="49FF29E7"/>
    <w:rsid w:val="4A1946C3"/>
    <w:rsid w:val="4A7700FB"/>
    <w:rsid w:val="4A8219F2"/>
    <w:rsid w:val="4A894D04"/>
    <w:rsid w:val="4B867297"/>
    <w:rsid w:val="4BFA22D2"/>
    <w:rsid w:val="4BFB3039"/>
    <w:rsid w:val="4C0177F9"/>
    <w:rsid w:val="4C023DD2"/>
    <w:rsid w:val="4C6F4F8D"/>
    <w:rsid w:val="4CAF2004"/>
    <w:rsid w:val="4CC52999"/>
    <w:rsid w:val="4CF65190"/>
    <w:rsid w:val="4D0A226B"/>
    <w:rsid w:val="4D5C3245"/>
    <w:rsid w:val="4D834C75"/>
    <w:rsid w:val="4D8E38E7"/>
    <w:rsid w:val="4DD20112"/>
    <w:rsid w:val="4DF4693E"/>
    <w:rsid w:val="4E0B5A93"/>
    <w:rsid w:val="4E395334"/>
    <w:rsid w:val="4EB656C6"/>
    <w:rsid w:val="4EE130BB"/>
    <w:rsid w:val="4EEA0D24"/>
    <w:rsid w:val="4EF5252C"/>
    <w:rsid w:val="4F3214F5"/>
    <w:rsid w:val="4F377912"/>
    <w:rsid w:val="4FE729D9"/>
    <w:rsid w:val="4FED2CAC"/>
    <w:rsid w:val="4FFA30B3"/>
    <w:rsid w:val="4FFD566F"/>
    <w:rsid w:val="50040D6C"/>
    <w:rsid w:val="501C315F"/>
    <w:rsid w:val="50352FCF"/>
    <w:rsid w:val="507E1724"/>
    <w:rsid w:val="50C86E43"/>
    <w:rsid w:val="50EF617E"/>
    <w:rsid w:val="51BC7DF3"/>
    <w:rsid w:val="52050633"/>
    <w:rsid w:val="52086989"/>
    <w:rsid w:val="520D544A"/>
    <w:rsid w:val="529B379B"/>
    <w:rsid w:val="52BD6C12"/>
    <w:rsid w:val="52F3415D"/>
    <w:rsid w:val="53D7344B"/>
    <w:rsid w:val="54020436"/>
    <w:rsid w:val="54025967"/>
    <w:rsid w:val="543E21F2"/>
    <w:rsid w:val="5466755E"/>
    <w:rsid w:val="54B31F33"/>
    <w:rsid w:val="54BC1D69"/>
    <w:rsid w:val="55003C35"/>
    <w:rsid w:val="55111D1D"/>
    <w:rsid w:val="554747DA"/>
    <w:rsid w:val="557B3584"/>
    <w:rsid w:val="55A107FB"/>
    <w:rsid w:val="55AD7366"/>
    <w:rsid w:val="564231F4"/>
    <w:rsid w:val="56440B41"/>
    <w:rsid w:val="566667AD"/>
    <w:rsid w:val="56775AEE"/>
    <w:rsid w:val="567E4E28"/>
    <w:rsid w:val="56813D1C"/>
    <w:rsid w:val="56CB359F"/>
    <w:rsid w:val="56CE7C55"/>
    <w:rsid w:val="56F270DD"/>
    <w:rsid w:val="56FE50A9"/>
    <w:rsid w:val="576E7398"/>
    <w:rsid w:val="57EA1090"/>
    <w:rsid w:val="582901C7"/>
    <w:rsid w:val="58CE6A98"/>
    <w:rsid w:val="58CF3F50"/>
    <w:rsid w:val="58EA22FF"/>
    <w:rsid w:val="590E45F0"/>
    <w:rsid w:val="59C75BDE"/>
    <w:rsid w:val="5A0F7891"/>
    <w:rsid w:val="5A1E5F89"/>
    <w:rsid w:val="5A236000"/>
    <w:rsid w:val="5A3E5A99"/>
    <w:rsid w:val="5ADA649B"/>
    <w:rsid w:val="5BA159E3"/>
    <w:rsid w:val="5BCA607F"/>
    <w:rsid w:val="5C0026DF"/>
    <w:rsid w:val="5C19175C"/>
    <w:rsid w:val="5C5C30C8"/>
    <w:rsid w:val="5CBA1D36"/>
    <w:rsid w:val="5CC11316"/>
    <w:rsid w:val="5CFE7E2F"/>
    <w:rsid w:val="5D157BBC"/>
    <w:rsid w:val="5D746795"/>
    <w:rsid w:val="5E273825"/>
    <w:rsid w:val="5E801979"/>
    <w:rsid w:val="5E856136"/>
    <w:rsid w:val="5ECD661E"/>
    <w:rsid w:val="5F506981"/>
    <w:rsid w:val="5FEA352A"/>
    <w:rsid w:val="603C305D"/>
    <w:rsid w:val="605E2A7F"/>
    <w:rsid w:val="60C45638"/>
    <w:rsid w:val="61422F23"/>
    <w:rsid w:val="61510C2C"/>
    <w:rsid w:val="61A909FB"/>
    <w:rsid w:val="62075309"/>
    <w:rsid w:val="62343996"/>
    <w:rsid w:val="623D6695"/>
    <w:rsid w:val="62752C1C"/>
    <w:rsid w:val="62CA3249"/>
    <w:rsid w:val="63185A08"/>
    <w:rsid w:val="632E0EC8"/>
    <w:rsid w:val="63502AA8"/>
    <w:rsid w:val="635B17DB"/>
    <w:rsid w:val="64002021"/>
    <w:rsid w:val="645B745D"/>
    <w:rsid w:val="64BD5616"/>
    <w:rsid w:val="66096445"/>
    <w:rsid w:val="663637E3"/>
    <w:rsid w:val="665D57D7"/>
    <w:rsid w:val="66877D06"/>
    <w:rsid w:val="66B3296E"/>
    <w:rsid w:val="671A30F5"/>
    <w:rsid w:val="67544001"/>
    <w:rsid w:val="675F62E3"/>
    <w:rsid w:val="67766EC3"/>
    <w:rsid w:val="67777387"/>
    <w:rsid w:val="68245CEB"/>
    <w:rsid w:val="684B7F4E"/>
    <w:rsid w:val="689B79EC"/>
    <w:rsid w:val="696857BA"/>
    <w:rsid w:val="69770E1C"/>
    <w:rsid w:val="6A173ED7"/>
    <w:rsid w:val="6A250594"/>
    <w:rsid w:val="6A2B5052"/>
    <w:rsid w:val="6AD55F8D"/>
    <w:rsid w:val="6B0E6686"/>
    <w:rsid w:val="6C6F23A3"/>
    <w:rsid w:val="6D1A412B"/>
    <w:rsid w:val="6D647B33"/>
    <w:rsid w:val="6D6D375B"/>
    <w:rsid w:val="6DD72508"/>
    <w:rsid w:val="6E15001C"/>
    <w:rsid w:val="6E197B3D"/>
    <w:rsid w:val="6E2214E9"/>
    <w:rsid w:val="6E4F591C"/>
    <w:rsid w:val="6E5576F0"/>
    <w:rsid w:val="6F27744D"/>
    <w:rsid w:val="6F357F21"/>
    <w:rsid w:val="706776FF"/>
    <w:rsid w:val="70873C7F"/>
    <w:rsid w:val="70992760"/>
    <w:rsid w:val="70A42399"/>
    <w:rsid w:val="71135346"/>
    <w:rsid w:val="716B0C44"/>
    <w:rsid w:val="71A3096B"/>
    <w:rsid w:val="71F251FE"/>
    <w:rsid w:val="71FF7E88"/>
    <w:rsid w:val="72002F61"/>
    <w:rsid w:val="72087912"/>
    <w:rsid w:val="726B735D"/>
    <w:rsid w:val="72986AD3"/>
    <w:rsid w:val="72BD182E"/>
    <w:rsid w:val="733046A8"/>
    <w:rsid w:val="734902DF"/>
    <w:rsid w:val="73B030FF"/>
    <w:rsid w:val="73FB2F08"/>
    <w:rsid w:val="7445374A"/>
    <w:rsid w:val="74A8664B"/>
    <w:rsid w:val="74B45308"/>
    <w:rsid w:val="74D62D3C"/>
    <w:rsid w:val="754A769E"/>
    <w:rsid w:val="755B7815"/>
    <w:rsid w:val="75E654AB"/>
    <w:rsid w:val="76103768"/>
    <w:rsid w:val="761E43D4"/>
    <w:rsid w:val="76346CE5"/>
    <w:rsid w:val="76474961"/>
    <w:rsid w:val="764D4EA7"/>
    <w:rsid w:val="764E6F3F"/>
    <w:rsid w:val="76664F7A"/>
    <w:rsid w:val="771D7CC1"/>
    <w:rsid w:val="7810461F"/>
    <w:rsid w:val="78400768"/>
    <w:rsid w:val="78B51818"/>
    <w:rsid w:val="790D027A"/>
    <w:rsid w:val="793B4FA0"/>
    <w:rsid w:val="79AB567A"/>
    <w:rsid w:val="7A5862B2"/>
    <w:rsid w:val="7A802114"/>
    <w:rsid w:val="7AD16771"/>
    <w:rsid w:val="7AE27FEF"/>
    <w:rsid w:val="7AEE7323"/>
    <w:rsid w:val="7B275E99"/>
    <w:rsid w:val="7BD0743D"/>
    <w:rsid w:val="7C0329C1"/>
    <w:rsid w:val="7C253B57"/>
    <w:rsid w:val="7C384F3A"/>
    <w:rsid w:val="7C5C1ED5"/>
    <w:rsid w:val="7CD50193"/>
    <w:rsid w:val="7D450C50"/>
    <w:rsid w:val="7DB54CF6"/>
    <w:rsid w:val="7E121CC4"/>
    <w:rsid w:val="7E546A98"/>
    <w:rsid w:val="7E7E75A1"/>
    <w:rsid w:val="7EA01A8C"/>
    <w:rsid w:val="7EB02B62"/>
    <w:rsid w:val="7EC65EC0"/>
    <w:rsid w:val="7ECD4408"/>
    <w:rsid w:val="7EED220A"/>
    <w:rsid w:val="7EFB522D"/>
    <w:rsid w:val="7F832E74"/>
    <w:rsid w:val="7FA02A37"/>
    <w:rsid w:val="7FA55C91"/>
    <w:rsid w:val="7FC0734D"/>
    <w:rsid w:val="7FC63EBA"/>
    <w:rsid w:val="9BF78940"/>
    <w:rsid w:val="B3DFD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1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autoRedefine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unhideWhenUsed/>
    <w:qFormat/>
    <w:uiPriority w:val="99"/>
    <w:pPr>
      <w:jc w:val="left"/>
    </w:pPr>
  </w:style>
  <w:style w:type="paragraph" w:styleId="7">
    <w:name w:val="Balloon Text"/>
    <w:basedOn w:val="1"/>
    <w:link w:val="27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11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page number"/>
    <w:basedOn w:val="15"/>
    <w:autoRedefine/>
    <w:semiHidden/>
    <w:unhideWhenUsed/>
    <w:qFormat/>
    <w:uiPriority w:val="99"/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20">
    <w:name w:val="页脚 Char"/>
    <w:basedOn w:val="15"/>
    <w:link w:val="8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1">
    <w:name w:val="标题 Char"/>
    <w:basedOn w:val="15"/>
    <w:link w:val="1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/>
    </w:pPr>
  </w:style>
  <w:style w:type="character" w:customStyle="1" w:styleId="23">
    <w:name w:val="navtiao"/>
    <w:basedOn w:val="15"/>
    <w:autoRedefine/>
    <w:qFormat/>
    <w:uiPriority w:val="0"/>
  </w:style>
  <w:style w:type="character" w:customStyle="1" w:styleId="24">
    <w:name w:val="页眉 Char"/>
    <w:basedOn w:val="15"/>
    <w:link w:val="9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5">
    <w:name w:val="批注文字 Char"/>
    <w:basedOn w:val="15"/>
    <w:link w:val="6"/>
    <w:qFormat/>
    <w:uiPriority w:val="99"/>
    <w:rPr>
      <w:rFonts w:ascii="Times New Roman" w:hAnsi="Times New Roman" w:eastAsia="仿宋"/>
      <w:sz w:val="24"/>
    </w:rPr>
  </w:style>
  <w:style w:type="character" w:customStyle="1" w:styleId="26">
    <w:name w:val="批注主题 Char"/>
    <w:basedOn w:val="25"/>
    <w:link w:val="12"/>
    <w:autoRedefine/>
    <w:semiHidden/>
    <w:qFormat/>
    <w:uiPriority w:val="99"/>
    <w:rPr>
      <w:rFonts w:ascii="Times New Roman" w:hAnsi="Times New Roman" w:eastAsia="仿宋"/>
      <w:b/>
      <w:bCs/>
      <w:sz w:val="24"/>
    </w:rPr>
  </w:style>
  <w:style w:type="character" w:customStyle="1" w:styleId="27">
    <w:name w:val="批注框文本 Char"/>
    <w:basedOn w:val="15"/>
    <w:link w:val="7"/>
    <w:autoRedefine/>
    <w:semiHidden/>
    <w:qFormat/>
    <w:uiPriority w:val="99"/>
    <w:rPr>
      <w:rFonts w:ascii="Times New Roman" w:hAnsi="Times New Roman" w:eastAsia="仿宋"/>
      <w:sz w:val="18"/>
      <w:szCs w:val="18"/>
    </w:rPr>
  </w:style>
  <w:style w:type="paragraph" w:customStyle="1" w:styleId="28">
    <w:name w:val="修订1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9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customStyle="1" w:styleId="30">
    <w:name w:val="标题 1 Char"/>
    <w:basedOn w:val="15"/>
    <w:link w:val="2"/>
    <w:autoRedefine/>
    <w:qFormat/>
    <w:uiPriority w:val="9"/>
    <w:rPr>
      <w:rFonts w:ascii="Times New Roman" w:hAnsi="Times New Roman" w:eastAsia="仿宋"/>
      <w:b/>
      <w:bCs/>
      <w:kern w:val="44"/>
      <w:sz w:val="32"/>
      <w:szCs w:val="44"/>
    </w:rPr>
  </w:style>
  <w:style w:type="character" w:customStyle="1" w:styleId="31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"/>
    <w:basedOn w:val="15"/>
    <w:link w:val="4"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3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修订2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5">
    <w:name w:val="修订3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6">
    <w:name w:val="修订4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7">
    <w:name w:val="修订5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8">
    <w:name w:val="修订6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9">
    <w:name w:val="修订7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0">
    <w:name w:val="修订8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1">
    <w:name w:val="修订9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628</Words>
  <Characters>3582</Characters>
  <Lines>29</Lines>
  <Paragraphs>8</Paragraphs>
  <TotalTime>231</TotalTime>
  <ScaleCrop>false</ScaleCrop>
  <LinksUpToDate>false</LinksUpToDate>
  <CharactersWithSpaces>4202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2023-11-04T15:11:00Z</dcterms:created>
  <dc:creator>艾 德生</dc:creator>
  <cp:lastModifiedBy>李金丽</cp:lastModifiedBy>
  <cp:lastPrinted>2024-05-14T00:57:00Z</cp:lastPrinted>
  <dcterms:modified xsi:type="dcterms:W3CDTF">2024-05-22T01:48:33Z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35965C012FFB4ED49262C5FA28C9B39E_13</vt:lpwstr>
  </property>
</Properties>
</file>