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273"/>
        <w:spacing w:before="127" w:line="188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9"/>
        </w:rPr>
        <w:t>袁隆平追梦奖学金管理办法</w:t>
      </w:r>
    </w:p>
    <w:p>
      <w:pPr>
        <w:spacing w:line="407" w:lineRule="auto"/>
        <w:rPr>
          <w:rFonts w:ascii="Arial"/>
          <w:sz w:val="21"/>
        </w:rPr>
      </w:pPr>
      <w:r/>
    </w:p>
    <w:p>
      <w:pPr>
        <w:pStyle w:val="BodyText"/>
        <w:ind w:left="3261"/>
        <w:spacing w:before="101" w:line="228" w:lineRule="auto"/>
        <w:outlineLvl w:val="0"/>
        <w:rPr>
          <w:sz w:val="31"/>
          <w:szCs w:val="31"/>
        </w:rPr>
      </w:pPr>
      <w:r>
        <w:rPr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第一章</w:t>
      </w:r>
      <w:r>
        <w:rPr>
          <w:sz w:val="31"/>
          <w:szCs w:val="31"/>
          <w:spacing w:val="41"/>
        </w:rPr>
        <w:t xml:space="preserve"> </w:t>
      </w:r>
      <w:r>
        <w:rPr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总</w:t>
      </w:r>
      <w:r>
        <w:rPr>
          <w:sz w:val="31"/>
          <w:szCs w:val="31"/>
          <w:spacing w:val="33"/>
        </w:rPr>
        <w:t xml:space="preserve"> </w:t>
      </w:r>
      <w:r>
        <w:rPr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则</w:t>
      </w:r>
    </w:p>
    <w:p>
      <w:pPr>
        <w:spacing w:line="314" w:lineRule="auto"/>
        <w:rPr>
          <w:rFonts w:ascii="Arial"/>
          <w:sz w:val="21"/>
        </w:rPr>
      </w:pPr>
      <w:r/>
    </w:p>
    <w:p>
      <w:pPr>
        <w:spacing w:line="315" w:lineRule="auto"/>
        <w:rPr>
          <w:rFonts w:ascii="Arial"/>
          <w:sz w:val="21"/>
        </w:rPr>
      </w:pPr>
      <w:r/>
    </w:p>
    <w:p>
      <w:pPr>
        <w:pStyle w:val="BodyText"/>
        <w:spacing w:before="97" w:line="641" w:lineRule="exact"/>
        <w:jc w:val="right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5"/>
        </w:rPr>
        <w:t>第一条</w:t>
      </w:r>
      <w:r>
        <w:rPr>
          <w:spacing w:val="50"/>
          <w:position w:val="25"/>
        </w:rPr>
        <w:t xml:space="preserve"> </w:t>
      </w:r>
      <w:r>
        <w:rPr>
          <w:spacing w:val="-4"/>
          <w:position w:val="25"/>
        </w:rPr>
        <w:t>当代杰出的农业科学家，享誉世界的“杂交水稻之</w:t>
      </w:r>
      <w:r>
        <w:rPr>
          <w:spacing w:val="-5"/>
          <w:position w:val="25"/>
        </w:rPr>
        <w:t>父</w:t>
      </w:r>
      <w:r>
        <w:rPr>
          <w:spacing w:val="-110"/>
          <w:position w:val="25"/>
        </w:rPr>
        <w:t xml:space="preserve"> </w:t>
      </w:r>
      <w:r>
        <w:rPr>
          <w:spacing w:val="-5"/>
          <w:position w:val="25"/>
        </w:rPr>
        <w:t>”</w:t>
      </w:r>
    </w:p>
    <w:p>
      <w:pPr>
        <w:pStyle w:val="BodyText"/>
        <w:ind w:left="9"/>
        <w:spacing w:line="220" w:lineRule="auto"/>
        <w:rPr/>
      </w:pPr>
      <w:r>
        <w:rPr/>
        <w:t>袁隆平，为解决中国粮食自给和世界粮食安</w:t>
      </w:r>
      <w:r>
        <w:rPr>
          <w:spacing w:val="-1"/>
        </w:rPr>
        <w:t>全问题作出了巨大贡</w:t>
      </w:r>
    </w:p>
    <w:p>
      <w:pPr>
        <w:pStyle w:val="BodyText"/>
        <w:spacing w:before="282" w:line="222" w:lineRule="auto"/>
        <w:rPr/>
      </w:pPr>
      <w:r>
        <w:rPr/>
        <w:t>献。为继承和弘扬他追求真理、敢为人先、锲而不舍、埋头苦干</w:t>
      </w:r>
    </w:p>
    <w:p>
      <w:pPr>
        <w:pStyle w:val="BodyText"/>
        <w:ind w:left="19"/>
        <w:spacing w:before="279" w:line="222" w:lineRule="auto"/>
        <w:rPr/>
      </w:pPr>
      <w:r>
        <w:rPr>
          <w:spacing w:val="-1"/>
        </w:rPr>
        <w:t>的科学家创新及奋斗精神，鼓励农学专业学生为中国农业发展、</w:t>
      </w:r>
    </w:p>
    <w:p>
      <w:pPr>
        <w:pStyle w:val="BodyText"/>
        <w:ind w:left="3"/>
        <w:spacing w:before="279" w:line="641" w:lineRule="exact"/>
        <w:rPr/>
      </w:pPr>
      <w:r>
        <w:rPr>
          <w:spacing w:val="3"/>
          <w:position w:val="25"/>
        </w:rPr>
        <w:t>粮食安全做出贡献，袁隆平农业科技奖励基金会（下称“</w:t>
      </w:r>
      <w:r>
        <w:rPr>
          <w:spacing w:val="2"/>
          <w:position w:val="25"/>
        </w:rPr>
        <w:t>基金会</w:t>
      </w:r>
      <w:r>
        <w:rPr>
          <w:spacing w:val="-111"/>
          <w:position w:val="25"/>
        </w:rPr>
        <w:t xml:space="preserve"> </w:t>
      </w:r>
      <w:r>
        <w:rPr>
          <w:spacing w:val="2"/>
          <w:position w:val="25"/>
        </w:rPr>
        <w:t>”</w:t>
      </w:r>
    </w:p>
    <w:p>
      <w:pPr>
        <w:pStyle w:val="BodyText"/>
        <w:ind w:left="25"/>
        <w:spacing w:before="1" w:line="221" w:lineRule="auto"/>
        <w:rPr/>
      </w:pPr>
      <w:r>
        <w:rPr>
          <w:spacing w:val="-5"/>
        </w:rPr>
        <w:t>)</w:t>
      </w:r>
      <w:r>
        <w:rPr>
          <w:spacing w:val="69"/>
        </w:rPr>
        <w:t xml:space="preserve"> </w:t>
      </w:r>
      <w:r>
        <w:rPr>
          <w:spacing w:val="-5"/>
        </w:rPr>
        <w:t>与袁隆平慈善信托共同出资，设立“袁隆平追梦奖学金</w:t>
      </w:r>
      <w:r>
        <w:rPr>
          <w:spacing w:val="-107"/>
        </w:rPr>
        <w:t xml:space="preserve"> </w:t>
      </w:r>
      <w:r>
        <w:rPr>
          <w:spacing w:val="-5"/>
        </w:rPr>
        <w:t>”，</w:t>
      </w:r>
      <w:r>
        <w:rPr>
          <w:spacing w:val="-89"/>
        </w:rPr>
        <w:t xml:space="preserve"> </w:t>
      </w:r>
      <w:r>
        <w:rPr>
          <w:spacing w:val="-5"/>
        </w:rPr>
        <w:t>中</w:t>
      </w:r>
    </w:p>
    <w:p>
      <w:pPr>
        <w:pStyle w:val="BodyText"/>
        <w:ind w:left="2" w:right="445" w:firstLine="34"/>
        <w:spacing w:before="278" w:line="394" w:lineRule="auto"/>
        <w:rPr/>
      </w:pPr>
      <w:r>
        <w:rPr>
          <w:spacing w:val="-1"/>
        </w:rPr>
        <w:t>国作物学人才培养与教育专业委员会（下称“</w:t>
      </w:r>
      <w:r>
        <w:rPr>
          <w:spacing w:val="-2"/>
        </w:rPr>
        <w:t>专委会”）作为奖</w:t>
      </w:r>
      <w:r>
        <w:rPr/>
        <w:t xml:space="preserve"> </w:t>
      </w:r>
      <w:r>
        <w:rPr/>
        <w:t>学金专业指导单位，负责评审的组织和执行。为切实</w:t>
      </w:r>
      <w:r>
        <w:rPr>
          <w:spacing w:val="-1"/>
        </w:rPr>
        <w:t>做好“袁隆</w:t>
      </w:r>
      <w:r>
        <w:rPr/>
        <w:t xml:space="preserve"> </w:t>
      </w:r>
      <w:r>
        <w:rPr>
          <w:spacing w:val="-2"/>
        </w:rPr>
        <w:t>平追梦奖学金</w:t>
      </w:r>
      <w:r>
        <w:rPr>
          <w:spacing w:val="-99"/>
        </w:rPr>
        <w:t xml:space="preserve"> </w:t>
      </w:r>
      <w:r>
        <w:rPr>
          <w:spacing w:val="-2"/>
        </w:rPr>
        <w:t>”的评定和颁发工作，结合我校实际情况，特制定</w:t>
      </w:r>
    </w:p>
    <w:p>
      <w:pPr>
        <w:pStyle w:val="BodyText"/>
        <w:ind w:left="3"/>
        <w:spacing w:line="222" w:lineRule="auto"/>
        <w:rPr/>
      </w:pPr>
      <w:r>
        <w:rPr>
          <w:spacing w:val="-6"/>
        </w:rPr>
        <w:t>本办法。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2" w:right="445" w:firstLine="612"/>
        <w:spacing w:before="98" w:line="394" w:lineRule="auto"/>
        <w:jc w:val="both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第二条</w:t>
      </w:r>
      <w:r>
        <w:rPr>
          <w:spacing w:val="5"/>
        </w:rPr>
        <w:t xml:space="preserve"> </w:t>
      </w:r>
      <w:r>
        <w:rPr>
          <w:spacing w:val="5"/>
        </w:rPr>
        <w:t>袁隆平追梦奖学金用于奖励参评高校作物学科方向</w:t>
      </w:r>
      <w:r>
        <w:rPr>
          <w:spacing w:val="2"/>
        </w:rPr>
        <w:t xml:space="preserve"> </w:t>
      </w:r>
      <w:r>
        <w:rPr/>
        <w:t>和粮食安全相关的表现优异的全日制本科生及研究生。评选</w:t>
      </w:r>
      <w:r>
        <w:rPr>
          <w:spacing w:val="-1"/>
        </w:rPr>
        <w:t>结束</w:t>
      </w:r>
    </w:p>
    <w:p>
      <w:pPr>
        <w:pStyle w:val="BodyText"/>
        <w:ind w:left="4"/>
        <w:spacing w:before="1" w:line="221" w:lineRule="auto"/>
        <w:rPr/>
      </w:pPr>
      <w:r>
        <w:rPr>
          <w:spacing w:val="-2"/>
        </w:rPr>
        <w:t>后颁发由基金会和学会统一印制的奖励证书。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1" w:right="444" w:firstLine="613"/>
        <w:spacing w:before="98" w:line="394" w:lineRule="auto"/>
        <w:jc w:val="both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第三条</w:t>
      </w:r>
      <w:r>
        <w:rPr>
          <w:spacing w:val="-6"/>
        </w:rPr>
        <w:t xml:space="preserve"> </w:t>
      </w:r>
      <w:r>
        <w:rPr>
          <w:spacing w:val="-6"/>
        </w:rPr>
        <w:t>袁隆平追梦奖学金每年评选颁发一次，其中奖</w:t>
      </w:r>
      <w:r>
        <w:rPr>
          <w:spacing w:val="-7"/>
        </w:rPr>
        <w:t>学金名</w:t>
      </w:r>
      <w:r>
        <w:rPr/>
        <w:t xml:space="preserve"> </w:t>
      </w:r>
      <w:r>
        <w:rPr>
          <w:spacing w:val="-5"/>
        </w:rPr>
        <w:t>额分配如下：全校共有</w:t>
      </w:r>
      <w:r>
        <w:rPr>
          <w:rFonts w:ascii="Times New Roman" w:hAnsi="Times New Roman" w:eastAsia="Times New Roman" w:cs="Times New Roman"/>
          <w:spacing w:val="-5"/>
        </w:rPr>
        <w:t>4</w:t>
      </w:r>
      <w:r>
        <w:rPr>
          <w:spacing w:val="-5"/>
        </w:rPr>
        <w:t>个名额，分别为</w:t>
      </w:r>
      <w:r>
        <w:rPr>
          <w:rFonts w:ascii="Times New Roman" w:hAnsi="Times New Roman" w:eastAsia="Times New Roman" w:cs="Times New Roman"/>
          <w:spacing w:val="-5"/>
        </w:rPr>
        <w:t>2</w:t>
      </w:r>
      <w:r>
        <w:rPr>
          <w:spacing w:val="-5"/>
        </w:rPr>
        <w:t>名本科生、</w:t>
      </w:r>
      <w:r>
        <w:rPr>
          <w:rFonts w:ascii="Times New Roman" w:hAnsi="Times New Roman" w:eastAsia="Times New Roman" w:cs="Times New Roman"/>
          <w:spacing w:val="-5"/>
        </w:rPr>
        <w:t>1</w:t>
      </w:r>
      <w:r>
        <w:rPr>
          <w:spacing w:val="-5"/>
        </w:rPr>
        <w:t>名</w:t>
      </w:r>
      <w:r>
        <w:rPr>
          <w:spacing w:val="-6"/>
        </w:rPr>
        <w:t>硕士研究</w:t>
      </w:r>
    </w:p>
    <w:p>
      <w:pPr>
        <w:pStyle w:val="BodyText"/>
        <w:ind w:left="19"/>
        <w:spacing w:line="222" w:lineRule="auto"/>
        <w:rPr/>
      </w:pPr>
      <w:r>
        <w:rPr>
          <w:spacing w:val="-4"/>
        </w:rPr>
        <w:t>生和</w:t>
      </w:r>
      <w:r>
        <w:rPr>
          <w:rFonts w:ascii="Times New Roman" w:hAnsi="Times New Roman" w:eastAsia="Times New Roman" w:cs="Times New Roman"/>
          <w:spacing w:val="-4"/>
        </w:rPr>
        <w:t>1</w:t>
      </w:r>
      <w:r>
        <w:rPr>
          <w:spacing w:val="-4"/>
        </w:rPr>
        <w:t>名博士研究生；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610"/>
        <w:spacing w:before="98" w:line="641" w:lineRule="exact"/>
        <w:rPr/>
      </w:pPr>
      <w:r>
        <w:rPr>
          <w:spacing w:val="-2"/>
          <w:position w:val="25"/>
        </w:rPr>
        <w:t>另设</w:t>
      </w:r>
      <w:r>
        <w:rPr>
          <w:rFonts w:ascii="Times New Roman" w:hAnsi="Times New Roman" w:eastAsia="Times New Roman" w:cs="Times New Roman"/>
          <w:spacing w:val="-2"/>
          <w:position w:val="25"/>
        </w:rPr>
        <w:t>“</w:t>
      </w:r>
      <w:r>
        <w:rPr>
          <w:rFonts w:ascii="Times New Roman" w:hAnsi="Times New Roman" w:eastAsia="Times New Roman" w:cs="Times New Roman"/>
          <w:spacing w:val="-49"/>
          <w:position w:val="25"/>
        </w:rPr>
        <w:t xml:space="preserve"> </w:t>
      </w:r>
      <w:r>
        <w:rPr>
          <w:spacing w:val="-2"/>
          <w:position w:val="25"/>
        </w:rPr>
        <w:t>博士生科研创新奖</w:t>
      </w:r>
      <w:r>
        <w:rPr>
          <w:rFonts w:ascii="Times New Roman" w:hAnsi="Times New Roman" w:eastAsia="Times New Roman" w:cs="Times New Roman"/>
          <w:spacing w:val="-2"/>
          <w:position w:val="25"/>
        </w:rPr>
        <w:t>”</w:t>
      </w:r>
      <w:r>
        <w:rPr>
          <w:rFonts w:ascii="Times New Roman" w:hAnsi="Times New Roman" w:eastAsia="Times New Roman" w:cs="Times New Roman"/>
          <w:spacing w:val="-32"/>
          <w:position w:val="25"/>
        </w:rPr>
        <w:t xml:space="preserve"> </w:t>
      </w:r>
      <w:r>
        <w:rPr>
          <w:spacing w:val="-2"/>
          <w:position w:val="25"/>
        </w:rPr>
        <w:t>，从当年获评袁隆平</w:t>
      </w:r>
      <w:r>
        <w:rPr>
          <w:spacing w:val="-3"/>
          <w:position w:val="25"/>
        </w:rPr>
        <w:t>追梦奖学金的</w:t>
      </w:r>
    </w:p>
    <w:p>
      <w:pPr>
        <w:pStyle w:val="BodyText"/>
        <w:ind w:left="4"/>
        <w:spacing w:line="220" w:lineRule="auto"/>
        <w:rPr/>
      </w:pPr>
      <w:r>
        <w:rPr>
          <w:spacing w:val="-2"/>
        </w:rPr>
        <w:t>博士研究生中择优评选，每年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spacing w:val="-2"/>
        </w:rPr>
        <w:t>名。</w:t>
      </w:r>
    </w:p>
    <w:p>
      <w:pPr>
        <w:spacing w:line="220" w:lineRule="auto"/>
        <w:sectPr>
          <w:pgSz w:w="11906" w:h="16840"/>
          <w:pgMar w:top="1431" w:right="1340" w:bottom="0" w:left="1719" w:header="0" w:footer="0" w:gutter="0"/>
        </w:sectPr>
        <w:rPr/>
      </w:pPr>
    </w:p>
    <w:p>
      <w:pPr>
        <w:pStyle w:val="BodyText"/>
        <w:spacing w:before="255" w:line="639" w:lineRule="exact"/>
        <w:jc w:val="right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9"/>
          <w:position w:val="25"/>
        </w:rPr>
        <w:t>第四条</w:t>
      </w:r>
      <w:r>
        <w:rPr>
          <w:spacing w:val="69"/>
          <w:position w:val="25"/>
        </w:rPr>
        <w:t xml:space="preserve"> </w:t>
      </w:r>
      <w:r>
        <w:rPr>
          <w:spacing w:val="-9"/>
          <w:position w:val="25"/>
        </w:rPr>
        <w:t>申请奖学金的科研成果不可重复使用，如发现重复使</w:t>
      </w:r>
    </w:p>
    <w:p>
      <w:pPr>
        <w:pStyle w:val="BodyText"/>
        <w:spacing w:line="221" w:lineRule="auto"/>
        <w:rPr/>
      </w:pPr>
      <w:r>
        <w:rPr>
          <w:spacing w:val="-2"/>
        </w:rPr>
        <w:t>用，将取消参评资格。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2215"/>
        <w:spacing w:before="101" w:line="228" w:lineRule="auto"/>
        <w:rPr>
          <w:sz w:val="31"/>
          <w:szCs w:val="31"/>
        </w:rPr>
      </w:pPr>
      <w:r>
        <w:rPr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第二章</w:t>
      </w:r>
      <w:r>
        <w:rPr>
          <w:sz w:val="31"/>
          <w:szCs w:val="31"/>
          <w:spacing w:val="7"/>
        </w:rPr>
        <w:t xml:space="preserve"> </w:t>
      </w:r>
      <w:r>
        <w:rPr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奖励标准与基本条件</w:t>
      </w:r>
    </w:p>
    <w:p>
      <w:pPr>
        <w:spacing w:line="315" w:lineRule="auto"/>
        <w:rPr>
          <w:rFonts w:ascii="Arial"/>
          <w:sz w:val="21"/>
        </w:rPr>
      </w:pPr>
      <w:r/>
    </w:p>
    <w:p>
      <w:pPr>
        <w:spacing w:line="315" w:lineRule="auto"/>
        <w:rPr>
          <w:rFonts w:ascii="Arial"/>
          <w:sz w:val="21"/>
        </w:rPr>
      </w:pPr>
      <w:r/>
    </w:p>
    <w:p>
      <w:pPr>
        <w:pStyle w:val="BodyText"/>
        <w:ind w:left="7" w:firstLine="605"/>
        <w:spacing w:before="97" w:line="394" w:lineRule="auto"/>
        <w:rPr/>
      </w:pPr>
      <w:r>
        <w:rPr>
          <w14:textOutline w14:w="5448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第五条</w:t>
      </w:r>
      <w:r>
        <w:rPr>
          <w:spacing w:val="-1"/>
        </w:rPr>
        <w:t xml:space="preserve"> </w:t>
      </w:r>
      <w:r>
        <w:rPr>
          <w:spacing w:val="-1"/>
        </w:rPr>
        <w:t>袁隆平追梦奖学金奖励标准为本科生每人</w:t>
      </w: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spacing w:val="-1"/>
        </w:rPr>
        <w:t>万元，硕</w:t>
      </w:r>
      <w:r>
        <w:rPr>
          <w:spacing w:val="12"/>
        </w:rPr>
        <w:t xml:space="preserve"> </w:t>
      </w:r>
      <w:r>
        <w:rPr/>
        <w:t>士研究生每人</w:t>
      </w:r>
      <w:r>
        <w:rPr>
          <w:rFonts w:ascii="Times New Roman" w:hAnsi="Times New Roman" w:eastAsia="Times New Roman" w:cs="Times New Roman"/>
        </w:rPr>
        <w:t>2</w:t>
      </w:r>
      <w:r>
        <w:rPr/>
        <w:t>万元，博士研究生每人</w:t>
      </w:r>
      <w:r>
        <w:rPr>
          <w:rFonts w:ascii="Times New Roman" w:hAnsi="Times New Roman" w:eastAsia="Times New Roman" w:cs="Times New Roman"/>
        </w:rPr>
        <w:t>3</w:t>
      </w:r>
      <w:r>
        <w:rPr/>
        <w:t>万元，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/>
        <w:t>博士生科研创新</w:t>
      </w:r>
    </w:p>
    <w:p>
      <w:pPr>
        <w:pStyle w:val="BodyText"/>
        <w:ind w:left="6"/>
        <w:spacing w:line="219" w:lineRule="auto"/>
        <w:rPr/>
      </w:pPr>
      <w:r>
        <w:rPr>
          <w:spacing w:val="-2"/>
        </w:rPr>
        <w:t>奖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spacing w:val="-2"/>
        </w:rPr>
        <w:t>获得者每人在原有博士研究生奖学金基础上再奖励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万元。</w:t>
      </w:r>
    </w:p>
    <w:p>
      <w:pPr>
        <w:spacing w:line="305" w:lineRule="auto"/>
        <w:rPr>
          <w:rFonts w:ascii="Arial"/>
          <w:sz w:val="21"/>
        </w:rPr>
      </w:pPr>
      <w:r/>
    </w:p>
    <w:p>
      <w:pPr>
        <w:pStyle w:val="BodyText"/>
        <w:ind w:left="612"/>
        <w:spacing w:before="98" w:line="220" w:lineRule="auto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第六条</w:t>
      </w:r>
      <w:r>
        <w:rPr>
          <w:spacing w:val="-2"/>
        </w:rPr>
        <w:t xml:space="preserve"> </w:t>
      </w:r>
      <w:r>
        <w:rPr>
          <w:spacing w:val="-2"/>
        </w:rPr>
        <w:t>本科生袁隆平追梦奖学金申请条件</w:t>
      </w:r>
    </w:p>
    <w:p>
      <w:pPr>
        <w:spacing w:line="304" w:lineRule="auto"/>
        <w:rPr>
          <w:rFonts w:ascii="Arial"/>
          <w:sz w:val="21"/>
        </w:rPr>
      </w:pPr>
      <w:r/>
    </w:p>
    <w:p>
      <w:pPr>
        <w:pStyle w:val="BodyText"/>
        <w:ind w:left="605"/>
        <w:spacing w:before="98" w:line="222" w:lineRule="auto"/>
        <w:rPr/>
      </w:pPr>
      <w:r>
        <w:rPr>
          <w:spacing w:val="-4"/>
        </w:rPr>
        <w:t>（一）基本条件：</w:t>
      </w:r>
    </w:p>
    <w:p>
      <w:pPr>
        <w:spacing w:line="297" w:lineRule="auto"/>
        <w:rPr>
          <w:rFonts w:ascii="Arial"/>
          <w:sz w:val="21"/>
        </w:rPr>
      </w:pPr>
      <w:r/>
    </w:p>
    <w:p>
      <w:pPr>
        <w:pStyle w:val="BodyText"/>
        <w:ind w:left="615"/>
        <w:spacing w:before="98" w:line="221" w:lineRule="auto"/>
        <w:rPr/>
      </w:pPr>
      <w:r>
        <w:rPr>
          <w:rFonts w:ascii="Times New Roman" w:hAnsi="Times New Roman" w:eastAsia="Times New Roman" w:cs="Times New Roman"/>
          <w:spacing w:val="-3"/>
        </w:rPr>
        <w:t>1.</w:t>
      </w:r>
      <w:r>
        <w:rPr>
          <w:spacing w:val="-3"/>
        </w:rPr>
        <w:t>具有中华人民共和国国籍；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pStyle w:val="BodyText"/>
        <w:ind w:left="586"/>
        <w:spacing w:before="97" w:line="222" w:lineRule="auto"/>
        <w:rPr/>
      </w:pPr>
      <w:r>
        <w:rPr>
          <w:rFonts w:ascii="Times New Roman" w:hAnsi="Times New Roman" w:eastAsia="Times New Roman" w:cs="Times New Roman"/>
          <w:spacing w:val="-1"/>
        </w:rPr>
        <w:t>2.</w:t>
      </w:r>
      <w:r>
        <w:rPr>
          <w:spacing w:val="-1"/>
        </w:rPr>
        <w:t>热爱社会主义祖国，拥护中国共产党的领导；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left="592"/>
        <w:spacing w:before="98" w:line="222" w:lineRule="auto"/>
        <w:rPr/>
      </w:pPr>
      <w:r>
        <w:rPr>
          <w:rFonts w:ascii="Times New Roman" w:hAnsi="Times New Roman" w:eastAsia="Times New Roman" w:cs="Times New Roman"/>
          <w:spacing w:val="-1"/>
        </w:rPr>
        <w:t>3.</w:t>
      </w:r>
      <w:r>
        <w:rPr>
          <w:spacing w:val="-1"/>
        </w:rPr>
        <w:t>遵守宪法和法律，遵守学校规章制度；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585"/>
        <w:spacing w:before="98" w:line="222" w:lineRule="auto"/>
        <w:rPr/>
      </w:pPr>
      <w:r>
        <w:rPr>
          <w:rFonts w:ascii="Times New Roman" w:hAnsi="Times New Roman" w:eastAsia="Times New Roman" w:cs="Times New Roman"/>
          <w:spacing w:val="-1"/>
        </w:rPr>
        <w:t>4.</w:t>
      </w:r>
      <w:r>
        <w:rPr>
          <w:spacing w:val="-1"/>
        </w:rPr>
        <w:t>诚实守信，道德品质优良；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pStyle w:val="BodyText"/>
        <w:spacing w:before="98" w:line="641" w:lineRule="exact"/>
        <w:jc w:val="right"/>
        <w:rPr/>
      </w:pPr>
      <w:r>
        <w:rPr>
          <w:rFonts w:ascii="Times New Roman" w:hAnsi="Times New Roman" w:eastAsia="Times New Roman" w:cs="Times New Roman"/>
          <w:spacing w:val="3"/>
          <w:position w:val="25"/>
        </w:rPr>
        <w:t>5.</w:t>
      </w:r>
      <w:r>
        <w:rPr>
          <w:spacing w:val="3"/>
          <w:position w:val="25"/>
        </w:rPr>
        <w:t>在校期间学习成绩优异，创新能力、社会实践等方</w:t>
      </w:r>
      <w:r>
        <w:rPr>
          <w:spacing w:val="2"/>
          <w:position w:val="25"/>
        </w:rPr>
        <w:t>面特别</w:t>
      </w:r>
    </w:p>
    <w:p>
      <w:pPr>
        <w:pStyle w:val="BodyText"/>
        <w:ind w:left="8"/>
        <w:spacing w:before="1" w:line="224" w:lineRule="auto"/>
        <w:rPr/>
      </w:pPr>
      <w:r>
        <w:rPr>
          <w:spacing w:val="-10"/>
        </w:rPr>
        <w:t>突出。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pStyle w:val="BodyText"/>
        <w:spacing w:before="97" w:line="641" w:lineRule="exact"/>
        <w:jc w:val="right"/>
        <w:rPr/>
      </w:pPr>
      <w:r>
        <w:rPr>
          <w:spacing w:val="-3"/>
          <w:position w:val="25"/>
        </w:rPr>
        <w:t>（二）</w:t>
      </w:r>
      <w:r>
        <w:rPr>
          <w:spacing w:val="-79"/>
          <w:position w:val="25"/>
        </w:rPr>
        <w:t xml:space="preserve"> </w:t>
      </w:r>
      <w:r>
        <w:rPr>
          <w:spacing w:val="-3"/>
          <w:position w:val="25"/>
        </w:rPr>
        <w:t>申请人在符合本科生袁隆平追梦奖学金申请基本条件</w:t>
      </w:r>
    </w:p>
    <w:p>
      <w:pPr>
        <w:pStyle w:val="BodyText"/>
        <w:spacing w:before="1" w:line="222" w:lineRule="auto"/>
        <w:rPr/>
      </w:pPr>
      <w:r>
        <w:rPr>
          <w:spacing w:val="-2"/>
        </w:rPr>
        <w:t>基础上，还应满足以下条件：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spacing w:before="97" w:line="639" w:lineRule="exact"/>
        <w:jc w:val="right"/>
        <w:rPr/>
      </w:pPr>
      <w:r>
        <w:rPr>
          <w:rFonts w:ascii="Times New Roman" w:hAnsi="Times New Roman" w:eastAsia="Times New Roman" w:cs="Times New Roman"/>
          <w:spacing w:val="1"/>
          <w:position w:val="25"/>
        </w:rPr>
        <w:t>1.</w:t>
      </w:r>
      <w:r>
        <w:rPr>
          <w:rFonts w:ascii="Times New Roman" w:hAnsi="Times New Roman" w:eastAsia="Times New Roman" w:cs="Times New Roman"/>
          <w:spacing w:val="-45"/>
          <w:position w:val="25"/>
        </w:rPr>
        <w:t xml:space="preserve"> </w:t>
      </w:r>
      <w:r>
        <w:rPr>
          <w:spacing w:val="1"/>
          <w:position w:val="25"/>
        </w:rPr>
        <w:t>年级要求：二年级及以上学生方可申请本科生袁隆平追梦</w:t>
      </w:r>
    </w:p>
    <w:p>
      <w:pPr>
        <w:pStyle w:val="BodyText"/>
        <w:ind w:left="6"/>
        <w:spacing w:line="222" w:lineRule="auto"/>
        <w:rPr/>
      </w:pPr>
      <w:r>
        <w:rPr>
          <w:spacing w:val="-7"/>
        </w:rPr>
        <w:t>奖学金。</w:t>
      </w:r>
    </w:p>
    <w:p>
      <w:pPr>
        <w:spacing w:line="222" w:lineRule="auto"/>
        <w:sectPr>
          <w:pgSz w:w="11906" w:h="16840"/>
          <w:pgMar w:top="1431" w:right="1785" w:bottom="0" w:left="1721" w:header="0" w:footer="0" w:gutter="0"/>
        </w:sectPr>
        <w:rPr/>
      </w:pPr>
    </w:p>
    <w:p>
      <w:pPr>
        <w:pStyle w:val="BodyText"/>
        <w:ind w:right="8" w:firstLine="594"/>
        <w:spacing w:before="252" w:line="394" w:lineRule="auto"/>
        <w:rPr/>
      </w:pPr>
      <w:r>
        <w:rPr>
          <w:rFonts w:ascii="Times New Roman" w:hAnsi="Times New Roman" w:eastAsia="Times New Roman" w:cs="Times New Roman"/>
          <w:spacing w:val="3"/>
        </w:rPr>
        <w:t>2.</w:t>
      </w:r>
      <w:r>
        <w:rPr>
          <w:spacing w:val="3"/>
        </w:rPr>
        <w:t>成绩要求：学习成绩排名与素质能力测评成绩排名均位于</w:t>
      </w:r>
      <w:r>
        <w:rPr>
          <w:spacing w:val="1"/>
        </w:rPr>
        <w:t xml:space="preserve">  </w:t>
      </w:r>
      <w:r>
        <w:rPr>
          <w:spacing w:val="5"/>
        </w:rPr>
        <w:t>前</w:t>
      </w:r>
      <w:r>
        <w:rPr>
          <w:rFonts w:ascii="Times New Roman" w:hAnsi="Times New Roman" w:eastAsia="Times New Roman" w:cs="Times New Roman"/>
          <w:spacing w:val="5"/>
        </w:rPr>
        <w:t>10%</w:t>
      </w:r>
      <w:r>
        <w:rPr>
          <w:spacing w:val="5"/>
        </w:rPr>
        <w:t>（含</w:t>
      </w:r>
      <w:r>
        <w:rPr>
          <w:rFonts w:ascii="Times New Roman" w:hAnsi="Times New Roman" w:eastAsia="Times New Roman" w:cs="Times New Roman"/>
          <w:spacing w:val="5"/>
        </w:rPr>
        <w:t>10%</w:t>
      </w:r>
      <w:r>
        <w:rPr>
          <w:spacing w:val="5"/>
        </w:rPr>
        <w:t>）的学生，可以申请本科生袁隆平追梦奖学</w:t>
      </w:r>
      <w:r>
        <w:rPr>
          <w:spacing w:val="4"/>
        </w:rPr>
        <w:t>金。</w:t>
      </w:r>
      <w:r>
        <w:rPr/>
        <w:t xml:space="preserve">  </w:t>
      </w:r>
      <w:r>
        <w:rPr>
          <w:spacing w:val="11"/>
        </w:rPr>
        <w:t>学习成绩排名和综合考评成绩排名没有进入前</w:t>
      </w:r>
      <w:r>
        <w:rPr>
          <w:rFonts w:ascii="Times New Roman" w:hAnsi="Times New Roman" w:eastAsia="Times New Roman" w:cs="Times New Roman"/>
          <w:spacing w:val="10"/>
        </w:rPr>
        <w:t>10%</w:t>
      </w:r>
      <w:r>
        <w:rPr>
          <w:rFonts w:ascii="Times New Roman" w:hAnsi="Times New Roman" w:eastAsia="Times New Roman" w:cs="Times New Roman"/>
          <w:spacing w:val="-20"/>
        </w:rPr>
        <w:t xml:space="preserve"> </w:t>
      </w:r>
      <w:r>
        <w:rPr>
          <w:spacing w:val="10"/>
        </w:rPr>
        <w:t>，但达到前</w:t>
      </w:r>
      <w:r>
        <w:rPr/>
        <w:t xml:space="preserve">  </w:t>
      </w:r>
      <w:r>
        <w:rPr>
          <w:rFonts w:ascii="Times New Roman" w:hAnsi="Times New Roman" w:eastAsia="Times New Roman" w:cs="Times New Roman"/>
          <w:spacing w:val="3"/>
        </w:rPr>
        <w:t>30%</w:t>
      </w:r>
      <w:r>
        <w:rPr>
          <w:spacing w:val="3"/>
        </w:rPr>
        <w:t>（含</w:t>
      </w:r>
      <w:r>
        <w:rPr>
          <w:rFonts w:ascii="Times New Roman" w:hAnsi="Times New Roman" w:eastAsia="Times New Roman" w:cs="Times New Roman"/>
          <w:spacing w:val="3"/>
        </w:rPr>
        <w:t>30%</w:t>
      </w:r>
      <w:r>
        <w:rPr>
          <w:spacing w:val="3"/>
        </w:rPr>
        <w:t>）的学生，如在其他方面表现非常突出，也可申请</w:t>
      </w:r>
      <w:r>
        <w:rPr>
          <w:spacing w:val="8"/>
        </w:rPr>
        <w:t xml:space="preserve">  </w:t>
      </w:r>
      <w:r>
        <w:rPr/>
        <w:t>本科生袁隆平追梦奖学金，但需提交详细的证明材料，证明材料</w:t>
      </w:r>
      <w:r>
        <w:rPr>
          <w:spacing w:val="2"/>
        </w:rPr>
        <w:t xml:space="preserve">  </w:t>
      </w:r>
      <w:r>
        <w:rPr>
          <w:spacing w:val="-2"/>
        </w:rPr>
        <w:t>须经学校审核盖章确认。其他方面表现非常突</w:t>
      </w:r>
      <w:r>
        <w:rPr>
          <w:spacing w:val="-3"/>
        </w:rPr>
        <w:t>出是指在道德风尚、</w:t>
      </w:r>
      <w:r>
        <w:rPr/>
        <w:t xml:space="preserve"> </w:t>
      </w:r>
      <w:r>
        <w:rPr>
          <w:spacing w:val="1"/>
        </w:rPr>
        <w:t>学术研究、学科竞赛、创新发明、社会实践、社会工作等某一方</w:t>
      </w:r>
    </w:p>
    <w:p>
      <w:pPr>
        <w:pStyle w:val="BodyText"/>
        <w:ind w:left="13"/>
        <w:spacing w:line="219" w:lineRule="auto"/>
        <w:rPr/>
      </w:pPr>
      <w:r>
        <w:rPr/>
        <w:t>面表现特别优秀。具体是指：在作物学术研究</w:t>
      </w:r>
      <w:r>
        <w:rPr>
          <w:spacing w:val="-1"/>
        </w:rPr>
        <w:t>上取得显著成绩，</w:t>
      </w:r>
    </w:p>
    <w:p>
      <w:pPr>
        <w:pStyle w:val="BodyText"/>
        <w:ind w:left="11" w:right="8" w:firstLine="26"/>
        <w:spacing w:before="283" w:line="394" w:lineRule="auto"/>
        <w:rPr/>
      </w:pPr>
      <w:r>
        <w:rPr>
          <w:spacing w:val="-3"/>
        </w:rPr>
        <w:t>以第一作者发表的通过专家鉴定的高水平论文，以第一、二作者</w:t>
      </w:r>
      <w:r>
        <w:rPr>
          <w:spacing w:val="-3"/>
        </w:rPr>
        <w:t xml:space="preserve">  </w:t>
      </w:r>
      <w:r>
        <w:rPr/>
        <w:t>出版的通过专家鉴定的学术专著；在作物学科竞赛</w:t>
      </w:r>
      <w:r>
        <w:rPr>
          <w:spacing w:val="-1"/>
        </w:rPr>
        <w:t>方面取得显著</w:t>
      </w:r>
      <w:r>
        <w:rPr/>
        <w:t xml:space="preserve">  </w:t>
      </w:r>
      <w:r>
        <w:rPr>
          <w:spacing w:val="-2"/>
        </w:rPr>
        <w:t>成绩，在国际和全国性作物专业学科竞赛、课外学术科技竞赛及</w:t>
      </w:r>
      <w:r>
        <w:rPr>
          <w:spacing w:val="-2"/>
        </w:rPr>
        <w:t xml:space="preserve">  </w:t>
      </w:r>
      <w:r>
        <w:rPr/>
        <w:t>以上奖励；在创新发明方面取得显著成绩，科研成</w:t>
      </w:r>
      <w:r>
        <w:rPr>
          <w:spacing w:val="-1"/>
        </w:rPr>
        <w:t>果获省、部级</w:t>
      </w:r>
      <w:r>
        <w:rPr/>
        <w:t xml:space="preserve">  </w:t>
      </w:r>
      <w:r>
        <w:rPr>
          <w:spacing w:val="-3"/>
        </w:rPr>
        <w:t>以上奖励或获得通过专家鉴定的国家专利（不包括实用新型专利、</w:t>
      </w:r>
      <w:r>
        <w:rPr>
          <w:spacing w:val="9"/>
        </w:rPr>
        <w:t xml:space="preserve"> </w:t>
      </w:r>
      <w:r>
        <w:rPr>
          <w:spacing w:val="-3"/>
        </w:rPr>
        <w:t>外观设计专利</w:t>
      </w:r>
      <w:r>
        <w:rPr>
          <w:spacing w:val="13"/>
        </w:rPr>
        <w:t>）；</w:t>
      </w:r>
      <w:r>
        <w:rPr>
          <w:spacing w:val="-3"/>
        </w:rPr>
        <w:t>获全国十大杰出青年、中国青年五四奖章、中</w:t>
      </w:r>
      <w:r>
        <w:rPr>
          <w:spacing w:val="-3"/>
        </w:rPr>
        <w:t xml:space="preserve">  </w:t>
      </w:r>
      <w:r>
        <w:rPr/>
        <w:t>国大学生年度人物等全国性荣誉称号；其它应当认</w:t>
      </w:r>
      <w:r>
        <w:rPr>
          <w:spacing w:val="-1"/>
        </w:rPr>
        <w:t>定为表现非常</w:t>
      </w:r>
    </w:p>
    <w:p>
      <w:pPr>
        <w:pStyle w:val="BodyText"/>
        <w:ind w:left="15"/>
        <w:spacing w:line="222" w:lineRule="auto"/>
        <w:rPr/>
      </w:pPr>
      <w:r>
        <w:rPr>
          <w:spacing w:val="-5"/>
        </w:rPr>
        <w:t>突出的情形。</w:t>
      </w:r>
    </w:p>
    <w:p>
      <w:pPr>
        <w:spacing w:line="297" w:lineRule="auto"/>
        <w:rPr>
          <w:rFonts w:ascii="Arial"/>
          <w:sz w:val="21"/>
        </w:rPr>
      </w:pPr>
      <w:r/>
    </w:p>
    <w:p>
      <w:pPr>
        <w:pStyle w:val="BodyText"/>
        <w:ind w:left="7" w:right="235" w:firstLine="605"/>
        <w:spacing w:before="97" w:line="394" w:lineRule="auto"/>
        <w:jc w:val="both"/>
        <w:rPr/>
      </w:pPr>
      <w:r>
        <w:rPr/>
        <w:t>（三）学校规定修业年限内，因国家和单位</w:t>
      </w:r>
      <w:r>
        <w:rPr>
          <w:spacing w:val="-1"/>
        </w:rPr>
        <w:t>公派出国留学或</w:t>
      </w:r>
      <w:r>
        <w:rPr/>
        <w:t xml:space="preserve"> </w:t>
      </w:r>
      <w:r>
        <w:rPr/>
        <w:t>校际交流在境外学习的本科生，仍具备本科生袁隆平追梦奖</w:t>
      </w:r>
      <w:r>
        <w:rPr>
          <w:spacing w:val="-1"/>
        </w:rPr>
        <w:t>学金</w:t>
      </w:r>
      <w:r>
        <w:rPr/>
        <w:t xml:space="preserve"> </w:t>
      </w:r>
      <w:r>
        <w:rPr/>
        <w:t>参评资格；但由于因私出国留学、疾病、创业等原因未在校</w:t>
      </w:r>
      <w:r>
        <w:rPr>
          <w:spacing w:val="-1"/>
        </w:rPr>
        <w:t>学习</w:t>
      </w:r>
    </w:p>
    <w:p>
      <w:pPr>
        <w:pStyle w:val="BodyText"/>
        <w:spacing w:before="1" w:line="222" w:lineRule="auto"/>
        <w:jc w:val="right"/>
        <w:rPr/>
      </w:pPr>
      <w:r>
        <w:rPr>
          <w:spacing w:val="-3"/>
        </w:rPr>
        <w:t>的本科生，期内原则上不具备本科生袁隆平追梦奖学金参评资格。</w:t>
      </w:r>
    </w:p>
    <w:p>
      <w:pPr>
        <w:spacing w:line="222" w:lineRule="auto"/>
        <w:sectPr>
          <w:pgSz w:w="11906" w:h="16840"/>
          <w:pgMar w:top="1431" w:right="1549" w:bottom="0" w:left="1713" w:header="0" w:footer="0" w:gutter="0"/>
        </w:sectPr>
        <w:rPr/>
      </w:pPr>
    </w:p>
    <w:p>
      <w:pPr>
        <w:pStyle w:val="BodyText"/>
        <w:ind w:left="605"/>
        <w:spacing w:before="255" w:line="639" w:lineRule="exact"/>
        <w:rPr/>
      </w:pPr>
      <w:r>
        <w:rPr>
          <w:position w:val="25"/>
        </w:rPr>
        <w:t>（四）出现以下任一情况，不具备当年袁隆</w:t>
      </w:r>
      <w:r>
        <w:rPr>
          <w:spacing w:val="-1"/>
          <w:position w:val="25"/>
        </w:rPr>
        <w:t>平追梦奖学金的</w:t>
      </w:r>
    </w:p>
    <w:p>
      <w:pPr>
        <w:pStyle w:val="BodyText"/>
        <w:ind w:left="5"/>
        <w:spacing w:line="222" w:lineRule="auto"/>
        <w:rPr/>
      </w:pPr>
      <w:r>
        <w:rPr>
          <w:spacing w:val="-5"/>
        </w:rPr>
        <w:t>参评资格：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left="616"/>
        <w:spacing w:before="98" w:line="222" w:lineRule="auto"/>
        <w:rPr/>
      </w:pPr>
      <w:r>
        <w:rPr>
          <w:rFonts w:ascii="Times New Roman" w:hAnsi="Times New Roman" w:eastAsia="Times New Roman" w:cs="Times New Roman"/>
          <w:spacing w:val="-2"/>
        </w:rPr>
        <w:t>1.</w:t>
      </w:r>
      <w:r>
        <w:rPr>
          <w:spacing w:val="-2"/>
        </w:rPr>
        <w:t>参评学年违反国家法律、校纪校规受到纪律处分者；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pStyle w:val="BodyText"/>
        <w:ind w:left="587"/>
        <w:spacing w:before="97" w:line="639" w:lineRule="exact"/>
        <w:rPr/>
      </w:pPr>
      <w:r>
        <w:rPr>
          <w:rFonts w:ascii="Times New Roman" w:hAnsi="Times New Roman" w:eastAsia="Times New Roman" w:cs="Times New Roman"/>
          <w:spacing w:val="3"/>
          <w:position w:val="25"/>
        </w:rPr>
        <w:t>2.</w:t>
      </w:r>
      <w:r>
        <w:rPr>
          <w:spacing w:val="3"/>
          <w:position w:val="25"/>
        </w:rPr>
        <w:t>参评学年有抄袭剽窃、弄虚作假等学术不端行为，经查证</w:t>
      </w:r>
    </w:p>
    <w:p>
      <w:pPr>
        <w:pStyle w:val="BodyText"/>
        <w:spacing w:line="222" w:lineRule="auto"/>
        <w:rPr/>
      </w:pPr>
      <w:r>
        <w:rPr>
          <w:spacing w:val="-5"/>
        </w:rPr>
        <w:t>属实的；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593"/>
        <w:spacing w:before="97" w:line="220" w:lineRule="auto"/>
        <w:rPr/>
      </w:pPr>
      <w:r>
        <w:rPr>
          <w:rFonts w:ascii="Times New Roman" w:hAnsi="Times New Roman" w:eastAsia="Times New Roman" w:cs="Times New Roman"/>
          <w:spacing w:val="-1"/>
        </w:rPr>
        <w:t>3.</w:t>
      </w:r>
      <w:r>
        <w:rPr>
          <w:spacing w:val="-1"/>
        </w:rPr>
        <w:t>参评学年学籍状态处于休学、保留学籍者。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pStyle w:val="BodyText"/>
        <w:ind w:left="613"/>
        <w:spacing w:before="99" w:line="220" w:lineRule="auto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第七条</w:t>
      </w:r>
      <w:r>
        <w:rPr>
          <w:spacing w:val="-2"/>
        </w:rPr>
        <w:t xml:space="preserve"> </w:t>
      </w:r>
      <w:r>
        <w:rPr>
          <w:spacing w:val="-2"/>
        </w:rPr>
        <w:t>研究生袁隆平追梦奖学金申请条件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pStyle w:val="BodyText"/>
        <w:ind w:left="605"/>
        <w:spacing w:before="98" w:line="222" w:lineRule="auto"/>
        <w:rPr/>
      </w:pPr>
      <w:r>
        <w:rPr>
          <w:spacing w:val="-4"/>
        </w:rPr>
        <w:t>（一）基本条件：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616"/>
        <w:spacing w:before="98" w:line="222" w:lineRule="auto"/>
        <w:rPr/>
      </w:pPr>
      <w:r>
        <w:rPr>
          <w:rFonts w:ascii="Times New Roman" w:hAnsi="Times New Roman" w:eastAsia="Times New Roman" w:cs="Times New Roman"/>
          <w:spacing w:val="-2"/>
        </w:rPr>
        <w:t>1.</w:t>
      </w:r>
      <w:r>
        <w:rPr>
          <w:spacing w:val="-2"/>
        </w:rPr>
        <w:t>热爱社会主义祖国，拥护中国共产党的领导；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spacing w:before="98" w:line="222" w:lineRule="auto"/>
        <w:jc w:val="right"/>
        <w:rPr/>
      </w:pPr>
      <w:r>
        <w:rPr>
          <w:rFonts w:ascii="Times New Roman" w:hAnsi="Times New Roman" w:eastAsia="Times New Roman" w:cs="Times New Roman"/>
          <w:spacing w:val="-3"/>
        </w:rPr>
        <w:t>2.</w:t>
      </w:r>
      <w:r>
        <w:rPr>
          <w:spacing w:val="-3"/>
        </w:rPr>
        <w:t>遵守中华人民共和国宪法和法律，遵守高等学校规章制度；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593"/>
        <w:spacing w:before="98" w:line="222" w:lineRule="auto"/>
        <w:rPr/>
      </w:pPr>
      <w:r>
        <w:rPr>
          <w:rFonts w:ascii="Times New Roman" w:hAnsi="Times New Roman" w:eastAsia="Times New Roman" w:cs="Times New Roman"/>
          <w:spacing w:val="-2"/>
        </w:rPr>
        <w:t>3.</w:t>
      </w:r>
      <w:r>
        <w:rPr>
          <w:spacing w:val="-2"/>
        </w:rPr>
        <w:t>诚实守信，道德品质优良；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585"/>
        <w:spacing w:before="98" w:line="222" w:lineRule="auto"/>
        <w:rPr/>
      </w:pPr>
      <w:r>
        <w:rPr>
          <w:rFonts w:ascii="Times New Roman" w:hAnsi="Times New Roman" w:eastAsia="Times New Roman" w:cs="Times New Roman"/>
          <w:spacing w:val="-2"/>
        </w:rPr>
        <w:t>4.</w:t>
      </w:r>
      <w:r>
        <w:rPr>
          <w:rFonts w:ascii="Times New Roman" w:hAnsi="Times New Roman" w:eastAsia="Times New Roman" w:cs="Times New Roman"/>
          <w:spacing w:val="-37"/>
        </w:rPr>
        <w:t xml:space="preserve"> </w:t>
      </w:r>
      <w:r>
        <w:rPr>
          <w:spacing w:val="-2"/>
        </w:rPr>
        <w:t>学习成绩优异，科研能力显著，发展潜力突出。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pStyle w:val="BodyText"/>
        <w:ind w:left="595"/>
        <w:spacing w:before="98" w:line="221" w:lineRule="auto"/>
        <w:rPr/>
      </w:pPr>
      <w:r>
        <w:rPr>
          <w:rFonts w:ascii="Times New Roman" w:hAnsi="Times New Roman" w:eastAsia="Times New Roman" w:cs="Times New Roman"/>
          <w:spacing w:val="-1"/>
        </w:rPr>
        <w:t>5.</w:t>
      </w:r>
      <w:r>
        <w:rPr>
          <w:spacing w:val="-1"/>
        </w:rPr>
        <w:t>有下列行为之一者，取消其评定资格：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left="605"/>
        <w:spacing w:before="98" w:line="222" w:lineRule="auto"/>
        <w:rPr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spacing w:val="-1"/>
        </w:rPr>
        <w:t>）参评学年违反国家法律、校纪校规受到纪律处分者；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pStyle w:val="BodyText"/>
        <w:ind w:left="605"/>
        <w:spacing w:before="98" w:line="640" w:lineRule="exact"/>
        <w:rPr/>
      </w:pPr>
      <w:r>
        <w:rPr>
          <w:spacing w:val="-6"/>
          <w:position w:val="25"/>
        </w:rPr>
        <w:t>（</w:t>
      </w:r>
      <w:r>
        <w:rPr>
          <w:rFonts w:ascii="Times New Roman" w:hAnsi="Times New Roman" w:eastAsia="Times New Roman" w:cs="Times New Roman"/>
          <w:spacing w:val="-6"/>
          <w:position w:val="25"/>
        </w:rPr>
        <w:t>2</w:t>
      </w:r>
      <w:r>
        <w:rPr>
          <w:spacing w:val="-6"/>
          <w:position w:val="25"/>
        </w:rPr>
        <w:t>）参评学年有抄袭剽窃、弄虚作假等学术不端行为，经查</w:t>
      </w:r>
    </w:p>
    <w:p>
      <w:pPr>
        <w:pStyle w:val="BodyText"/>
        <w:spacing w:before="1" w:line="222" w:lineRule="auto"/>
        <w:rPr/>
      </w:pPr>
      <w:r>
        <w:rPr>
          <w:spacing w:val="-4"/>
        </w:rPr>
        <w:t>证属实的；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605"/>
        <w:spacing w:before="97" w:line="220" w:lineRule="auto"/>
        <w:rPr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spacing w:val="-2"/>
        </w:rPr>
        <w:t>）参评学年学籍状态处于休学、保留学籍者。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pStyle w:val="BodyText"/>
        <w:ind w:left="605"/>
        <w:spacing w:before="99" w:line="640" w:lineRule="exact"/>
        <w:rPr/>
      </w:pPr>
      <w:r>
        <w:rPr>
          <w:spacing w:val="-3"/>
          <w:position w:val="25"/>
        </w:rPr>
        <w:t>（二）</w:t>
      </w:r>
      <w:r>
        <w:rPr>
          <w:spacing w:val="-79"/>
          <w:position w:val="25"/>
        </w:rPr>
        <w:t xml:space="preserve"> </w:t>
      </w:r>
      <w:r>
        <w:rPr>
          <w:spacing w:val="-3"/>
          <w:position w:val="25"/>
        </w:rPr>
        <w:t>申请人在符合研究生袁隆平追梦奖学金申请基本条件</w:t>
      </w:r>
    </w:p>
    <w:p>
      <w:pPr>
        <w:pStyle w:val="BodyText"/>
        <w:spacing w:before="1" w:line="222" w:lineRule="auto"/>
        <w:rPr/>
      </w:pPr>
      <w:r>
        <w:rPr>
          <w:spacing w:val="-2"/>
        </w:rPr>
        <w:t>基础上，还应满足以下条件：</w:t>
      </w:r>
    </w:p>
    <w:p>
      <w:pPr>
        <w:spacing w:line="222" w:lineRule="auto"/>
        <w:sectPr>
          <w:pgSz w:w="11906" w:h="16840"/>
          <w:pgMar w:top="1431" w:right="1651" w:bottom="0" w:left="1720" w:header="0" w:footer="0" w:gutter="0"/>
        </w:sectPr>
        <w:rPr/>
      </w:pPr>
    </w:p>
    <w:p>
      <w:pPr>
        <w:pStyle w:val="BodyText"/>
        <w:ind w:left="2" w:right="210" w:firstLine="615"/>
        <w:spacing w:before="253" w:line="394" w:lineRule="auto"/>
        <w:jc w:val="both"/>
        <w:rPr/>
      </w:pPr>
      <w:r>
        <w:rPr>
          <w:rFonts w:ascii="Times New Roman" w:hAnsi="Times New Roman" w:eastAsia="Times New Roman" w:cs="Times New Roman"/>
          <w:spacing w:val="-6"/>
        </w:rPr>
        <w:t>1</w:t>
      </w:r>
      <w:r>
        <w:rPr>
          <w:spacing w:val="-6"/>
        </w:rPr>
        <w:t>．评定对象：研究生袁隆平追梦奖学金评定对象</w:t>
      </w:r>
      <w:r>
        <w:rPr>
          <w:spacing w:val="-7"/>
        </w:rPr>
        <w:t>为我院所有</w:t>
      </w:r>
      <w:r>
        <w:rPr/>
        <w:t xml:space="preserve"> </w:t>
      </w:r>
      <w:r>
        <w:rPr/>
        <w:t>具有中华人民共和国国籍且纳入全国研究生招生计划的二年</w:t>
      </w:r>
      <w:r>
        <w:rPr>
          <w:spacing w:val="-1"/>
        </w:rPr>
        <w:t>级及</w:t>
      </w:r>
      <w:r>
        <w:rPr/>
        <w:t xml:space="preserve"> </w:t>
      </w:r>
      <w:r>
        <w:rPr/>
        <w:t>以上全日制（全脱产学习）研究生。直博生和招生简章中注</w:t>
      </w:r>
      <w:r>
        <w:rPr>
          <w:spacing w:val="-1"/>
        </w:rPr>
        <w:t>明不</w:t>
      </w:r>
      <w:r>
        <w:rPr/>
        <w:t xml:space="preserve"> </w:t>
      </w:r>
      <w:r>
        <w:rPr/>
        <w:t>授予中间学位的本硕博、硕博连读学生，根据当年学校系统</w:t>
      </w:r>
      <w:r>
        <w:rPr>
          <w:spacing w:val="-1"/>
        </w:rPr>
        <w:t>中学</w:t>
      </w:r>
    </w:p>
    <w:p>
      <w:pPr>
        <w:pStyle w:val="BodyText"/>
        <w:ind w:left="5"/>
        <w:spacing w:before="1" w:line="220" w:lineRule="auto"/>
        <w:rPr/>
      </w:pPr>
      <w:r>
        <w:rPr>
          <w:spacing w:val="-2"/>
        </w:rPr>
        <w:t>籍确定身份参与袁隆平追梦奖学金评比；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firstLine="588"/>
        <w:spacing w:before="97" w:line="394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3"/>
        </w:rPr>
        <w:t>2.</w:t>
      </w:r>
      <w:r>
        <w:rPr>
          <w:spacing w:val="3"/>
        </w:rPr>
        <w:t>评选办法：研究生袁隆平追梦奖学金评审包括资格遴选和</w:t>
      </w:r>
      <w:r>
        <w:rPr>
          <w:spacing w:val="1"/>
        </w:rPr>
        <w:t xml:space="preserve">  </w:t>
      </w:r>
      <w:r>
        <w:rPr/>
        <w:t>答辩汇报两个环节：资格遴选以德育成绩、学习成绩和科研成绩</w:t>
      </w:r>
      <w:r>
        <w:rPr/>
        <w:t xml:space="preserve">  </w:t>
      </w:r>
      <w:r>
        <w:rPr>
          <w:spacing w:val="-2"/>
        </w:rPr>
        <w:t>总和排序，排位在评选指标</w:t>
      </w:r>
      <w:r>
        <w:rPr>
          <w:rFonts w:ascii="Times New Roman" w:hAnsi="Times New Roman" w:eastAsia="Times New Roman" w:cs="Times New Roman"/>
          <w:spacing w:val="-2"/>
        </w:rPr>
        <w:t>1:1.5</w:t>
      </w:r>
      <w:r>
        <w:rPr>
          <w:spacing w:val="-2"/>
        </w:rPr>
        <w:t>比例范围</w:t>
      </w:r>
      <w:r>
        <w:rPr>
          <w:spacing w:val="-3"/>
        </w:rPr>
        <w:t>内进入答辩汇报环节。</w:t>
      </w:r>
      <w:r>
        <w:rPr>
          <w:spacing w:val="-3"/>
        </w:rPr>
        <w:t xml:space="preserve">  </w:t>
      </w:r>
      <w:r>
        <w:rPr/>
        <w:t>博士研究生答辩汇报主要考察科研创新能力和科研成果；学术型</w:t>
      </w:r>
      <w:r>
        <w:rPr/>
        <w:t xml:space="preserve">  </w:t>
      </w:r>
      <w:r>
        <w:rPr/>
        <w:t>硕士研究生二年级答辩汇报围绕开题论证，三年级答辩汇报围绕</w:t>
      </w:r>
      <w:r>
        <w:rPr/>
        <w:t xml:space="preserve">  </w:t>
      </w:r>
      <w:r>
        <w:rPr>
          <w:spacing w:val="-3"/>
        </w:rPr>
        <w:t>中期考核，着重考察科研精神、科研潜力和科研工作的实际</w:t>
      </w:r>
      <w:r>
        <w:rPr>
          <w:spacing w:val="-4"/>
        </w:rPr>
        <w:t>表现；</w:t>
      </w:r>
      <w:r>
        <w:rPr/>
        <w:t xml:space="preserve"> </w:t>
      </w:r>
      <w:r>
        <w:rPr/>
        <w:t>专业学位型硕士研究生各年级汇报内容同学术型，着重考察实践</w:t>
      </w:r>
      <w:r>
        <w:rPr/>
        <w:t xml:space="preserve">  </w:t>
      </w:r>
      <w:r>
        <w:rPr/>
        <w:t>能力、实践潜力和实践能力的实际表现。博士生答辩</w:t>
      </w:r>
      <w:r>
        <w:rPr>
          <w:rFonts w:ascii="Times New Roman" w:hAnsi="Times New Roman" w:eastAsia="Times New Roman" w:cs="Times New Roman"/>
        </w:rPr>
        <w:t>20</w:t>
      </w:r>
      <w:r>
        <w:rPr/>
        <w:t>分钟</w:t>
      </w:r>
      <w:r>
        <w:rPr>
          <w:spacing w:val="-1"/>
        </w:rPr>
        <w:t>，其</w:t>
      </w:r>
      <w:r>
        <w:rPr/>
        <w:t xml:space="preserve">  </w:t>
      </w:r>
      <w:r>
        <w:rPr>
          <w:spacing w:val="-5"/>
        </w:rPr>
        <w:t>中汇报</w:t>
      </w:r>
      <w:r>
        <w:rPr>
          <w:rFonts w:ascii="Times New Roman" w:hAnsi="Times New Roman" w:eastAsia="Times New Roman" w:cs="Times New Roman"/>
          <w:spacing w:val="-5"/>
        </w:rPr>
        <w:t>15</w:t>
      </w:r>
      <w:r>
        <w:rPr>
          <w:spacing w:val="-5"/>
        </w:rPr>
        <w:t>分钟，回答问题</w:t>
      </w:r>
      <w:r>
        <w:rPr>
          <w:rFonts w:ascii="Times New Roman" w:hAnsi="Times New Roman" w:eastAsia="Times New Roman" w:cs="Times New Roman"/>
          <w:spacing w:val="-5"/>
        </w:rPr>
        <w:t>5</w:t>
      </w:r>
      <w:r>
        <w:rPr>
          <w:spacing w:val="-5"/>
        </w:rPr>
        <w:t>分钟；硕士生答辩</w:t>
      </w:r>
      <w:r>
        <w:rPr>
          <w:rFonts w:ascii="Times New Roman" w:hAnsi="Times New Roman" w:eastAsia="Times New Roman" w:cs="Times New Roman"/>
          <w:spacing w:val="-5"/>
        </w:rPr>
        <w:t>15</w:t>
      </w:r>
      <w:r>
        <w:rPr>
          <w:spacing w:val="-5"/>
        </w:rPr>
        <w:t>分钟，其中汇报</w:t>
      </w:r>
      <w:r>
        <w:rPr>
          <w:rFonts w:ascii="Times New Roman" w:hAnsi="Times New Roman" w:eastAsia="Times New Roman" w:cs="Times New Roman"/>
          <w:spacing w:val="-5"/>
        </w:rPr>
        <w:t>10</w:t>
      </w:r>
    </w:p>
    <w:p>
      <w:pPr>
        <w:pStyle w:val="BodyText"/>
        <w:ind w:left="5"/>
        <w:spacing w:line="222" w:lineRule="auto"/>
        <w:rPr/>
      </w:pPr>
      <w:r>
        <w:rPr>
          <w:spacing w:val="-3"/>
        </w:rPr>
        <w:t>分钟，回答问题</w:t>
      </w:r>
      <w:r>
        <w:rPr>
          <w:rFonts w:ascii="Times New Roman" w:hAnsi="Times New Roman" w:eastAsia="Times New Roman" w:cs="Times New Roman"/>
          <w:spacing w:val="-3"/>
        </w:rPr>
        <w:t>5</w:t>
      </w:r>
      <w:r>
        <w:rPr>
          <w:spacing w:val="-3"/>
        </w:rPr>
        <w:t>分钟。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3" w:right="210" w:firstLine="603"/>
        <w:spacing w:before="98" w:line="394" w:lineRule="auto"/>
        <w:jc w:val="both"/>
        <w:rPr/>
      </w:pPr>
      <w:r>
        <w:rPr>
          <w:spacing w:val="-2"/>
        </w:rPr>
        <w:t>德育成绩（满分</w:t>
      </w:r>
      <w:r>
        <w:rPr>
          <w:rFonts w:ascii="Times New Roman" w:hAnsi="Times New Roman" w:eastAsia="Times New Roman" w:cs="Times New Roman"/>
          <w:spacing w:val="-2"/>
        </w:rPr>
        <w:t>10</w:t>
      </w:r>
      <w:r>
        <w:rPr>
          <w:spacing w:val="-2"/>
        </w:rPr>
        <w:t>分</w:t>
      </w:r>
      <w:r>
        <w:rPr>
          <w:spacing w:val="20"/>
        </w:rPr>
        <w:t>）：</w:t>
      </w:r>
      <w:r>
        <w:rPr>
          <w:spacing w:val="-2"/>
        </w:rPr>
        <w:t>德育成绩按照《农学院研究生思想</w:t>
      </w:r>
      <w:r>
        <w:rPr>
          <w:spacing w:val="1"/>
        </w:rPr>
        <w:t xml:space="preserve"> </w:t>
      </w:r>
      <w:r>
        <w:rPr>
          <w:spacing w:val="-5"/>
        </w:rPr>
        <w:t>政治与操行鉴定办法（试行）》执行，得分</w:t>
      </w:r>
      <w:r>
        <w:rPr>
          <w:rFonts w:ascii="Times New Roman" w:hAnsi="Times New Roman" w:eastAsia="Times New Roman" w:cs="Times New Roman"/>
          <w:spacing w:val="-5"/>
        </w:rPr>
        <w:t>6</w:t>
      </w:r>
      <w:r>
        <w:rPr>
          <w:spacing w:val="-5"/>
        </w:rPr>
        <w:t>分</w:t>
      </w:r>
      <w:r>
        <w:rPr>
          <w:spacing w:val="-6"/>
        </w:rPr>
        <w:t>及以上者得分计入</w:t>
      </w:r>
    </w:p>
    <w:p>
      <w:pPr>
        <w:pStyle w:val="BodyText"/>
        <w:ind w:left="15"/>
        <w:spacing w:before="1" w:line="222" w:lineRule="auto"/>
        <w:rPr/>
      </w:pPr>
      <w:r>
        <w:rPr>
          <w:spacing w:val="-2"/>
        </w:rPr>
        <w:t>总评分，得分</w:t>
      </w:r>
      <w:r>
        <w:rPr>
          <w:rFonts w:ascii="Times New Roman" w:hAnsi="Times New Roman" w:eastAsia="Times New Roman" w:cs="Times New Roman"/>
          <w:spacing w:val="-2"/>
        </w:rPr>
        <w:t>6</w:t>
      </w:r>
      <w:r>
        <w:rPr>
          <w:spacing w:val="-2"/>
        </w:rPr>
        <w:t>以下者无参评研究生奖学金资格。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615"/>
        <w:spacing w:before="97" w:line="695" w:lineRule="exact"/>
        <w:rPr/>
      </w:pPr>
      <w:r>
        <w:rPr>
          <w:spacing w:val="-7"/>
          <w:position w:val="25"/>
        </w:rPr>
        <w:t>学习成绩：智育成绩</w:t>
      </w:r>
      <w:r>
        <w:rPr>
          <w:rFonts w:ascii="Times New Roman" w:hAnsi="Times New Roman" w:eastAsia="Times New Roman" w:cs="Times New Roman"/>
          <w:spacing w:val="-7"/>
          <w:position w:val="25"/>
        </w:rPr>
        <w:t>=</w:t>
      </w:r>
      <w:r>
        <w:rPr>
          <w:spacing w:val="-7"/>
          <w:position w:val="25"/>
        </w:rPr>
        <w:t>整体加权平均分×权重因子（博士研究</w:t>
      </w:r>
    </w:p>
    <w:p>
      <w:pPr>
        <w:pStyle w:val="BodyText"/>
        <w:ind w:left="19"/>
        <w:spacing w:line="222" w:lineRule="auto"/>
        <w:rPr/>
      </w:pPr>
      <w:r>
        <w:rPr>
          <w:spacing w:val="-3"/>
        </w:rPr>
        <w:t>生权重因子为</w:t>
      </w:r>
      <w:r>
        <w:rPr>
          <w:rFonts w:ascii="Times New Roman" w:hAnsi="Times New Roman" w:eastAsia="Times New Roman" w:cs="Times New Roman"/>
          <w:spacing w:val="-3"/>
        </w:rPr>
        <w:t>20%</w:t>
      </w:r>
      <w:r>
        <w:rPr>
          <w:rFonts w:ascii="Times New Roman" w:hAnsi="Times New Roman" w:eastAsia="Times New Roman" w:cs="Times New Roman"/>
          <w:spacing w:val="-37"/>
        </w:rPr>
        <w:t xml:space="preserve"> </w:t>
      </w:r>
      <w:r>
        <w:rPr>
          <w:spacing w:val="-3"/>
        </w:rPr>
        <w:t>，硕士研究生权重因子为</w:t>
      </w:r>
      <w:r>
        <w:rPr>
          <w:rFonts w:ascii="Times New Roman" w:hAnsi="Times New Roman" w:eastAsia="Times New Roman" w:cs="Times New Roman"/>
          <w:spacing w:val="-4"/>
        </w:rPr>
        <w:t>40%</w:t>
      </w:r>
      <w:r>
        <w:rPr>
          <w:spacing w:val="-4"/>
        </w:rPr>
        <w:t>）。</w:t>
      </w:r>
    </w:p>
    <w:p>
      <w:pPr>
        <w:spacing w:line="222" w:lineRule="auto"/>
        <w:sectPr>
          <w:pgSz w:w="11906" w:h="16840"/>
          <w:pgMar w:top="1431" w:right="1575" w:bottom="0" w:left="1719" w:header="0" w:footer="0" w:gutter="0"/>
        </w:sectPr>
        <w:rPr/>
      </w:pPr>
    </w:p>
    <w:p>
      <w:pPr>
        <w:pStyle w:val="BodyText"/>
        <w:ind w:right="88"/>
        <w:spacing w:before="255" w:line="639" w:lineRule="exact"/>
        <w:jc w:val="right"/>
        <w:rPr/>
      </w:pPr>
      <w:r>
        <w:rPr>
          <w:spacing w:val="1"/>
          <w:position w:val="25"/>
        </w:rPr>
        <w:t>科研成绩：科研成绩是对研究生的发表论文、</w:t>
      </w:r>
      <w:r>
        <w:rPr>
          <w:position w:val="25"/>
        </w:rPr>
        <w:t>科研成果、专</w:t>
      </w:r>
    </w:p>
    <w:p>
      <w:pPr>
        <w:pStyle w:val="BodyText"/>
        <w:ind w:left="132"/>
        <w:spacing w:before="1" w:line="220" w:lineRule="auto"/>
        <w:rPr/>
      </w:pPr>
      <w:r>
        <w:rPr>
          <w:spacing w:val="-3"/>
        </w:rPr>
        <w:t>利等进行评分。</w:t>
      </w:r>
    </w:p>
    <w:p>
      <w:pPr>
        <w:spacing w:line="302" w:lineRule="auto"/>
        <w:rPr>
          <w:rFonts w:ascii="Arial"/>
          <w:sz w:val="21"/>
        </w:rPr>
      </w:pPr>
      <w:r/>
    </w:p>
    <w:p>
      <w:pPr>
        <w:pStyle w:val="BodyText"/>
        <w:ind w:left="738"/>
        <w:spacing w:before="97" w:line="224" w:lineRule="auto"/>
        <w:rPr/>
      </w:pPr>
      <w:r>
        <w:rPr>
          <w:spacing w:val="-4"/>
        </w:rPr>
        <w:t>（</w:t>
      </w:r>
      <w:r>
        <w:rPr>
          <w:rFonts w:ascii="Times New Roman" w:hAnsi="Times New Roman" w:eastAsia="Times New Roman" w:cs="Times New Roman"/>
          <w:spacing w:val="-4"/>
        </w:rPr>
        <w:t>1</w:t>
      </w:r>
      <w:r>
        <w:rPr>
          <w:spacing w:val="-4"/>
        </w:rPr>
        <w:t>）发表论文</w:t>
      </w:r>
    </w:p>
    <w:p>
      <w:pPr>
        <w:spacing w:line="296" w:lineRule="auto"/>
        <w:rPr>
          <w:rFonts w:ascii="Arial"/>
          <w:sz w:val="21"/>
        </w:rPr>
      </w:pPr>
      <w:r/>
    </w:p>
    <w:p>
      <w:pPr>
        <w:pStyle w:val="BodyText"/>
        <w:ind w:left="128" w:right="112" w:firstLine="606"/>
        <w:spacing w:before="98" w:line="394" w:lineRule="auto"/>
        <w:jc w:val="both"/>
        <w:rPr/>
      </w:pPr>
      <w:r>
        <w:rPr/>
        <w:t>提供的论文必须是研究生在读期间已经公开发表</w:t>
      </w:r>
      <w:r>
        <w:rPr>
          <w:spacing w:val="-1"/>
        </w:rPr>
        <w:t>、导师为通</w:t>
      </w:r>
      <w:r>
        <w:rPr/>
        <w:t xml:space="preserve"> </w:t>
      </w:r>
      <w:r>
        <w:rPr>
          <w:spacing w:val="-5"/>
        </w:rPr>
        <w:t>讯作者、西北农林科技大学为第一署名单位，被</w:t>
      </w:r>
      <w:r>
        <w:rPr>
          <w:rFonts w:ascii="Times New Roman" w:hAnsi="Times New Roman" w:eastAsia="Times New Roman" w:cs="Times New Roman"/>
          <w:spacing w:val="-5"/>
        </w:rPr>
        <w:t>SCI</w:t>
      </w:r>
      <w:r>
        <w:rPr>
          <w:spacing w:val="-5"/>
        </w:rPr>
        <w:t>、</w:t>
      </w:r>
      <w:r>
        <w:rPr>
          <w:rFonts w:ascii="Times New Roman" w:hAnsi="Times New Roman" w:eastAsia="Times New Roman" w:cs="Times New Roman"/>
          <w:spacing w:val="-5"/>
        </w:rPr>
        <w:t>EI</w:t>
      </w:r>
      <w:r>
        <w:rPr>
          <w:spacing w:val="-5"/>
        </w:rPr>
        <w:t>收录或刊</w:t>
      </w:r>
    </w:p>
    <w:p>
      <w:pPr>
        <w:pStyle w:val="BodyText"/>
        <w:ind w:left="133"/>
        <w:spacing w:line="220" w:lineRule="auto"/>
        <w:rPr/>
      </w:pPr>
      <w:r>
        <w:rPr>
          <w:spacing w:val="-2"/>
        </w:rPr>
        <w:t>载于农学院认定的</w:t>
      </w:r>
      <w:r>
        <w:rPr>
          <w:rFonts w:ascii="Times New Roman" w:hAnsi="Times New Roman" w:eastAsia="Times New Roman" w:cs="Times New Roman"/>
          <w:spacing w:val="-2"/>
        </w:rPr>
        <w:t>G3</w:t>
      </w:r>
      <w:r>
        <w:rPr>
          <w:spacing w:val="-2"/>
        </w:rPr>
        <w:t>和</w:t>
      </w:r>
      <w:r>
        <w:rPr>
          <w:rFonts w:ascii="Times New Roman" w:hAnsi="Times New Roman" w:eastAsia="Times New Roman" w:cs="Times New Roman"/>
          <w:spacing w:val="-2"/>
        </w:rPr>
        <w:t>G4</w:t>
      </w:r>
      <w:r>
        <w:rPr>
          <w:spacing w:val="-2"/>
        </w:rPr>
        <w:t>的研究性论文。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pStyle w:val="BodyText"/>
        <w:ind w:left="134" w:right="112" w:firstLine="601"/>
        <w:spacing w:before="97" w:line="394" w:lineRule="auto"/>
        <w:rPr/>
      </w:pPr>
      <w:r>
        <w:rPr>
          <w:spacing w:val="-3"/>
        </w:rPr>
        <w:t>其中</w:t>
      </w:r>
      <w:r>
        <w:rPr>
          <w:rFonts w:ascii="Times New Roman" w:hAnsi="Times New Roman" w:eastAsia="Times New Roman" w:cs="Times New Roman"/>
          <w:spacing w:val="-3"/>
        </w:rPr>
        <w:t>G1</w:t>
      </w:r>
      <w:r>
        <w:rPr>
          <w:spacing w:val="-3"/>
        </w:rPr>
        <w:t>期刊论文，学生作者认定前四位；其他期刊论文学生</w:t>
      </w:r>
      <w:r>
        <w:rPr>
          <w:spacing w:val="10"/>
        </w:rPr>
        <w:t xml:space="preserve"> </w:t>
      </w:r>
      <w:r>
        <w:rPr>
          <w:spacing w:val="-6"/>
        </w:rPr>
        <w:t>本人须为论文第一作者（第一名序）。申请时，</w:t>
      </w:r>
      <w:r>
        <w:rPr>
          <w:rFonts w:ascii="Times New Roman" w:hAnsi="Times New Roman" w:eastAsia="Times New Roman" w:cs="Times New Roman"/>
          <w:spacing w:val="-6"/>
        </w:rPr>
        <w:t>SCI</w:t>
      </w:r>
      <w:r>
        <w:rPr>
          <w:spacing w:val="-6"/>
        </w:rPr>
        <w:t>论文须提供图</w:t>
      </w:r>
      <w:r>
        <w:rPr>
          <w:spacing w:val="10"/>
        </w:rPr>
        <w:t xml:space="preserve"> </w:t>
      </w:r>
      <w:r>
        <w:rPr>
          <w:spacing w:val="1"/>
        </w:rPr>
        <w:t>书馆开具的检索证明，其中</w:t>
      </w:r>
      <w:r>
        <w:rPr>
          <w:rFonts w:ascii="Times New Roman" w:hAnsi="Times New Roman" w:eastAsia="Times New Roman" w:cs="Times New Roman"/>
        </w:rPr>
        <w:t>IF</w:t>
      </w:r>
      <w:r>
        <w:rPr>
          <w:spacing w:val="1"/>
        </w:rPr>
        <w:t>以文章发表当年的影响因子为准，</w:t>
      </w:r>
      <w:r>
        <w:rPr>
          <w:spacing w:val="3"/>
        </w:rPr>
        <w:t xml:space="preserve"> </w:t>
      </w:r>
      <w:r>
        <w:rPr>
          <w:spacing w:val="-2"/>
        </w:rPr>
        <w:t>分区以中科院大类分区为准；</w:t>
      </w:r>
      <w:r>
        <w:rPr>
          <w:spacing w:val="-89"/>
        </w:rPr>
        <w:t xml:space="preserve"> </w:t>
      </w:r>
      <w:r>
        <w:rPr>
          <w:spacing w:val="-2"/>
        </w:rPr>
        <w:t>中文期刊论文必</w:t>
      </w:r>
      <w:r>
        <w:rPr>
          <w:spacing w:val="-3"/>
        </w:rPr>
        <w:t>须提供期刊封面、</w:t>
      </w:r>
    </w:p>
    <w:p>
      <w:pPr>
        <w:pStyle w:val="BodyText"/>
        <w:ind w:left="185"/>
        <w:spacing w:line="222" w:lineRule="auto"/>
        <w:rPr/>
      </w:pPr>
      <w:r>
        <w:rPr>
          <w:spacing w:val="-10"/>
        </w:rPr>
        <w:t>目录和文章首页。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723"/>
        <w:spacing w:before="98" w:line="641" w:lineRule="exact"/>
        <w:rPr/>
      </w:pPr>
      <w:r>
        <w:rPr>
          <w:rFonts w:ascii="Times New Roman" w:hAnsi="Times New Roman" w:eastAsia="Times New Roman" w:cs="Times New Roman"/>
          <w:spacing w:val="1"/>
          <w:position w:val="25"/>
        </w:rPr>
        <w:t>G1</w:t>
      </w:r>
      <w:r>
        <w:rPr>
          <w:spacing w:val="1"/>
          <w:position w:val="25"/>
        </w:rPr>
        <w:t>和</w:t>
      </w:r>
      <w:r>
        <w:rPr>
          <w:rFonts w:ascii="Times New Roman" w:hAnsi="Times New Roman" w:eastAsia="Times New Roman" w:cs="Times New Roman"/>
          <w:spacing w:val="1"/>
          <w:position w:val="25"/>
        </w:rPr>
        <w:t>G2</w:t>
      </w:r>
      <w:r>
        <w:rPr>
          <w:spacing w:val="1"/>
          <w:position w:val="25"/>
        </w:rPr>
        <w:t>期刊以学校认定的为准，</w:t>
      </w:r>
      <w:r>
        <w:rPr>
          <w:rFonts w:ascii="Times New Roman" w:hAnsi="Times New Roman" w:eastAsia="Times New Roman" w:cs="Times New Roman"/>
          <w:spacing w:val="1"/>
          <w:position w:val="25"/>
        </w:rPr>
        <w:t>G3</w:t>
      </w:r>
      <w:r>
        <w:rPr>
          <w:spacing w:val="1"/>
          <w:position w:val="25"/>
        </w:rPr>
        <w:t>和</w:t>
      </w:r>
      <w:r>
        <w:rPr>
          <w:rFonts w:ascii="Times New Roman" w:hAnsi="Times New Roman" w:eastAsia="Times New Roman" w:cs="Times New Roman"/>
          <w:spacing w:val="1"/>
          <w:position w:val="25"/>
        </w:rPr>
        <w:t>G4</w:t>
      </w:r>
      <w:r>
        <w:rPr>
          <w:spacing w:val="1"/>
          <w:position w:val="25"/>
        </w:rPr>
        <w:t>期刊以农学院认定</w:t>
      </w:r>
    </w:p>
    <w:p>
      <w:pPr>
        <w:pStyle w:val="BodyText"/>
        <w:ind w:left="150"/>
        <w:spacing w:line="222" w:lineRule="auto"/>
        <w:rPr/>
      </w:pPr>
      <w:r>
        <w:rPr>
          <w:spacing w:val="-10"/>
        </w:rPr>
        <w:t>的为准。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723"/>
        <w:spacing w:before="98" w:line="220" w:lineRule="auto"/>
        <w:rPr/>
      </w:pPr>
      <w:r>
        <w:rPr>
          <w:rFonts w:ascii="Times New Roman" w:hAnsi="Times New Roman" w:eastAsia="Times New Roman" w:cs="Times New Roman"/>
          <w:spacing w:val="-1"/>
        </w:rPr>
        <w:t>G1</w:t>
      </w:r>
      <w:r>
        <w:rPr>
          <w:spacing w:val="-1"/>
        </w:rPr>
        <w:t>期刊单篇论文前四位学生作者分数占比标准</w:t>
      </w:r>
    </w:p>
    <w:p>
      <w:pPr>
        <w:spacing w:line="147" w:lineRule="exact"/>
        <w:rPr/>
      </w:pPr>
      <w:r/>
    </w:p>
    <w:tbl>
      <w:tblPr>
        <w:tblStyle w:val="TableNormal"/>
        <w:tblW w:w="863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262"/>
        <w:gridCol w:w="1593"/>
        <w:gridCol w:w="1593"/>
        <w:gridCol w:w="1593"/>
        <w:gridCol w:w="1598"/>
      </w:tblGrid>
      <w:tr>
        <w:trPr>
          <w:trHeight w:val="628" w:hRule="atLeast"/>
        </w:trPr>
        <w:tc>
          <w:tcPr>
            <w:tcW w:w="2262" w:type="dxa"/>
            <w:vAlign w:val="top"/>
          </w:tcPr>
          <w:p>
            <w:pPr>
              <w:pStyle w:val="TableText"/>
              <w:ind w:left="128"/>
              <w:spacing w:before="175" w:line="220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5"/>
              </w:rPr>
              <w:t>作者类别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130"/>
              <w:spacing w:before="181" w:line="222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5"/>
              </w:rPr>
              <w:t>第一位占比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131"/>
              <w:spacing w:before="181" w:line="222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5"/>
              </w:rPr>
              <w:t>第二位占比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132"/>
              <w:spacing w:before="181" w:line="222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5"/>
              </w:rPr>
              <w:t>第三位占比</w:t>
            </w:r>
          </w:p>
        </w:tc>
        <w:tc>
          <w:tcPr>
            <w:tcW w:w="1598" w:type="dxa"/>
            <w:vAlign w:val="top"/>
          </w:tcPr>
          <w:p>
            <w:pPr>
              <w:pStyle w:val="TableText"/>
              <w:ind w:left="132"/>
              <w:spacing w:before="181" w:line="222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5"/>
              </w:rPr>
              <w:t>第四位占比</w:t>
            </w:r>
          </w:p>
        </w:tc>
      </w:tr>
      <w:tr>
        <w:trPr>
          <w:trHeight w:val="605" w:hRule="atLeast"/>
        </w:trPr>
        <w:tc>
          <w:tcPr>
            <w:tcW w:w="2262" w:type="dxa"/>
            <w:vAlign w:val="top"/>
          </w:tcPr>
          <w:p>
            <w:pPr>
              <w:pStyle w:val="TableText"/>
              <w:ind w:left="134"/>
              <w:spacing w:before="170" w:line="220" w:lineRule="auto"/>
              <w:rPr/>
            </w:pPr>
            <w:r>
              <w:rPr>
                <w:spacing w:val="-4"/>
              </w:rPr>
              <w:t>1人为第一作者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599"/>
              <w:spacing w:before="170" w:line="241" w:lineRule="auto"/>
              <w:rPr/>
            </w:pPr>
            <w:r>
              <w:rPr>
                <w:spacing w:val="-4"/>
              </w:rPr>
              <w:t>65%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603"/>
              <w:spacing w:before="170" w:line="241" w:lineRule="auto"/>
              <w:rPr/>
            </w:pPr>
            <w:r>
              <w:rPr>
                <w:spacing w:val="-4"/>
              </w:rPr>
              <w:t>20%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619"/>
              <w:spacing w:before="170" w:line="241" w:lineRule="auto"/>
              <w:rPr/>
            </w:pPr>
            <w:r>
              <w:rPr>
                <w:spacing w:val="-9"/>
              </w:rPr>
              <w:t>10%</w:t>
            </w:r>
          </w:p>
        </w:tc>
        <w:tc>
          <w:tcPr>
            <w:tcW w:w="1598" w:type="dxa"/>
            <w:vAlign w:val="top"/>
          </w:tcPr>
          <w:p>
            <w:pPr>
              <w:pStyle w:val="TableText"/>
              <w:ind w:left="667"/>
              <w:spacing w:before="170" w:line="241" w:lineRule="auto"/>
              <w:rPr/>
            </w:pPr>
            <w:r>
              <w:rPr>
                <w:spacing w:val="-7"/>
              </w:rPr>
              <w:t>5%</w:t>
            </w:r>
          </w:p>
        </w:tc>
      </w:tr>
      <w:tr>
        <w:trPr>
          <w:trHeight w:val="604" w:hRule="atLeast"/>
        </w:trPr>
        <w:tc>
          <w:tcPr>
            <w:tcW w:w="2262" w:type="dxa"/>
            <w:vAlign w:val="top"/>
          </w:tcPr>
          <w:p>
            <w:pPr>
              <w:pStyle w:val="TableText"/>
              <w:ind w:left="119"/>
              <w:spacing w:before="170" w:line="220" w:lineRule="auto"/>
              <w:rPr/>
            </w:pPr>
            <w:r>
              <w:rPr>
                <w:spacing w:val="-4"/>
              </w:rPr>
              <w:t>2</w:t>
            </w:r>
            <w:r>
              <w:rPr>
                <w:spacing w:val="19"/>
              </w:rPr>
              <w:t xml:space="preserve"> </w:t>
            </w:r>
            <w:r>
              <w:rPr>
                <w:spacing w:val="-4"/>
              </w:rPr>
              <w:t>人并列第一作者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597"/>
              <w:spacing w:before="170" w:line="241" w:lineRule="auto"/>
              <w:rPr/>
            </w:pPr>
            <w:r>
              <w:rPr>
                <w:spacing w:val="-3"/>
              </w:rPr>
              <w:t>45%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605"/>
              <w:spacing w:before="170" w:line="241" w:lineRule="auto"/>
              <w:rPr/>
            </w:pPr>
            <w:r>
              <w:rPr>
                <w:spacing w:val="-5"/>
              </w:rPr>
              <w:t>35%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619"/>
              <w:spacing w:before="170" w:line="241" w:lineRule="auto"/>
              <w:rPr/>
            </w:pPr>
            <w:r>
              <w:rPr>
                <w:spacing w:val="-9"/>
              </w:rPr>
              <w:t>15%</w:t>
            </w:r>
          </w:p>
        </w:tc>
        <w:tc>
          <w:tcPr>
            <w:tcW w:w="1598" w:type="dxa"/>
            <w:vAlign w:val="top"/>
          </w:tcPr>
          <w:p>
            <w:pPr>
              <w:pStyle w:val="TableText"/>
              <w:ind w:left="667"/>
              <w:spacing w:before="170" w:line="241" w:lineRule="auto"/>
              <w:rPr/>
            </w:pPr>
            <w:r>
              <w:rPr>
                <w:spacing w:val="-7"/>
              </w:rPr>
              <w:t>5%</w:t>
            </w:r>
          </w:p>
        </w:tc>
      </w:tr>
      <w:tr>
        <w:trPr>
          <w:trHeight w:val="605" w:hRule="atLeast"/>
        </w:trPr>
        <w:tc>
          <w:tcPr>
            <w:tcW w:w="2262" w:type="dxa"/>
            <w:vAlign w:val="top"/>
          </w:tcPr>
          <w:p>
            <w:pPr>
              <w:pStyle w:val="TableText"/>
              <w:ind w:left="121"/>
              <w:spacing w:before="171" w:line="220" w:lineRule="auto"/>
              <w:rPr/>
            </w:pPr>
            <w:r>
              <w:rPr>
                <w:spacing w:val="-5"/>
              </w:rPr>
              <w:t>3</w:t>
            </w:r>
            <w:r>
              <w:rPr>
                <w:spacing w:val="25"/>
              </w:rPr>
              <w:t xml:space="preserve"> </w:t>
            </w:r>
            <w:r>
              <w:rPr>
                <w:spacing w:val="-5"/>
              </w:rPr>
              <w:t>人并列第一作者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597"/>
              <w:spacing w:before="170" w:line="241" w:lineRule="auto"/>
              <w:rPr/>
            </w:pPr>
            <w:r>
              <w:rPr>
                <w:spacing w:val="-3"/>
              </w:rPr>
              <w:t>40%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605"/>
              <w:spacing w:before="170" w:line="241" w:lineRule="auto"/>
              <w:rPr/>
            </w:pPr>
            <w:r>
              <w:rPr>
                <w:spacing w:val="-5"/>
              </w:rPr>
              <w:t>30%</w:t>
            </w:r>
          </w:p>
        </w:tc>
        <w:tc>
          <w:tcPr>
            <w:tcW w:w="1593" w:type="dxa"/>
            <w:vAlign w:val="top"/>
          </w:tcPr>
          <w:p>
            <w:pPr>
              <w:pStyle w:val="TableText"/>
              <w:ind w:left="604"/>
              <w:spacing w:before="170" w:line="241" w:lineRule="auto"/>
              <w:rPr/>
            </w:pPr>
            <w:r>
              <w:rPr>
                <w:spacing w:val="-4"/>
              </w:rPr>
              <w:t>20%</w:t>
            </w:r>
          </w:p>
        </w:tc>
        <w:tc>
          <w:tcPr>
            <w:tcW w:w="1598" w:type="dxa"/>
            <w:vAlign w:val="top"/>
          </w:tcPr>
          <w:p>
            <w:pPr>
              <w:pStyle w:val="TableText"/>
              <w:ind w:left="619"/>
              <w:spacing w:before="170" w:line="241" w:lineRule="auto"/>
              <w:rPr/>
            </w:pPr>
            <w:r>
              <w:rPr>
                <w:spacing w:val="-9"/>
              </w:rPr>
              <w:t>10%</w:t>
            </w:r>
          </w:p>
        </w:tc>
      </w:tr>
      <w:tr>
        <w:trPr>
          <w:trHeight w:val="939" w:hRule="atLeast"/>
        </w:trPr>
        <w:tc>
          <w:tcPr>
            <w:tcW w:w="2262" w:type="dxa"/>
            <w:vAlign w:val="top"/>
          </w:tcPr>
          <w:p>
            <w:pPr>
              <w:pStyle w:val="TableText"/>
              <w:ind w:left="115"/>
              <w:spacing w:before="172" w:line="444" w:lineRule="exact"/>
              <w:rPr/>
            </w:pPr>
            <w:r>
              <w:rPr>
                <w:spacing w:val="-4"/>
                <w:position w:val="15"/>
              </w:rPr>
              <w:t>4</w:t>
            </w:r>
            <w:r>
              <w:rPr>
                <w:spacing w:val="23"/>
                <w:position w:val="15"/>
              </w:rPr>
              <w:t xml:space="preserve"> </w:t>
            </w:r>
            <w:r>
              <w:rPr>
                <w:spacing w:val="-4"/>
                <w:position w:val="15"/>
              </w:rPr>
              <w:t>人及以上并列第</w:t>
            </w:r>
          </w:p>
          <w:p>
            <w:pPr>
              <w:pStyle w:val="TableText"/>
              <w:ind w:left="128"/>
              <w:spacing w:line="220" w:lineRule="auto"/>
              <w:rPr/>
            </w:pPr>
            <w:r>
              <w:rPr>
                <w:spacing w:val="-7"/>
              </w:rPr>
              <w:t>一作者</w:t>
            </w:r>
          </w:p>
        </w:tc>
        <w:tc>
          <w:tcPr>
            <w:tcW w:w="1593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97"/>
              <w:spacing w:before="78" w:line="241" w:lineRule="auto"/>
              <w:rPr/>
            </w:pPr>
            <w:r>
              <w:rPr>
                <w:spacing w:val="-3"/>
              </w:rPr>
              <w:t>40%</w:t>
            </w:r>
          </w:p>
        </w:tc>
        <w:tc>
          <w:tcPr>
            <w:tcW w:w="1593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3"/>
              <w:spacing w:before="78" w:line="241" w:lineRule="auto"/>
              <w:rPr/>
            </w:pPr>
            <w:r>
              <w:rPr>
                <w:spacing w:val="-4"/>
              </w:rPr>
              <w:t>25%</w:t>
            </w:r>
          </w:p>
        </w:tc>
        <w:tc>
          <w:tcPr>
            <w:tcW w:w="1593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4"/>
              <w:spacing w:before="78" w:line="241" w:lineRule="auto"/>
              <w:rPr/>
            </w:pPr>
            <w:r>
              <w:rPr>
                <w:spacing w:val="-4"/>
              </w:rPr>
              <w:t>20%</w:t>
            </w:r>
          </w:p>
        </w:tc>
        <w:tc>
          <w:tcPr>
            <w:tcW w:w="1598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19"/>
              <w:spacing w:before="78" w:line="241" w:lineRule="auto"/>
              <w:rPr/>
            </w:pPr>
            <w:r>
              <w:rPr>
                <w:spacing w:val="-9"/>
              </w:rPr>
              <w:t>15%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6" w:h="16840"/>
          <w:pgMar w:top="1431" w:right="1673" w:bottom="0" w:left="1588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pStyle w:val="BodyText"/>
        <w:ind w:left="127" w:right="371" w:firstLine="603"/>
        <w:spacing w:before="253" w:line="394" w:lineRule="auto"/>
        <w:rPr/>
      </w:pPr>
      <w:r>
        <w:rPr>
          <w:spacing w:val="-7"/>
        </w:rPr>
        <w:t>影响因子大于等于</w:t>
      </w:r>
      <w:r>
        <w:rPr>
          <w:rFonts w:ascii="Times New Roman" w:hAnsi="Times New Roman" w:eastAsia="Times New Roman" w:cs="Times New Roman"/>
          <w:spacing w:val="-7"/>
        </w:rPr>
        <w:t>5</w:t>
      </w:r>
      <w:r>
        <w:rPr>
          <w:spacing w:val="-7"/>
        </w:rPr>
        <w:t>分或中科院大类分区一区的论文，存在共</w:t>
      </w:r>
      <w:r>
        <w:rPr>
          <w:spacing w:val="-7"/>
        </w:rPr>
        <w:t xml:space="preserve">  </w:t>
      </w:r>
      <w:r>
        <w:rPr>
          <w:spacing w:val="1"/>
        </w:rPr>
        <w:t>同第一作者时，论文单篇记分比率如下：并</w:t>
      </w:r>
      <w:r>
        <w:rPr/>
        <w:t>列第一作者为</w:t>
      </w:r>
      <w:r>
        <w:rPr>
          <w:rFonts w:ascii="Times New Roman" w:hAnsi="Times New Roman" w:eastAsia="Times New Roman" w:cs="Times New Roman"/>
        </w:rPr>
        <w:t>2</w:t>
      </w:r>
      <w:r>
        <w:rPr/>
        <w:t>人时，</w:t>
      </w:r>
      <w:r>
        <w:rPr/>
        <w:t xml:space="preserve"> </w:t>
      </w:r>
      <w:r>
        <w:rPr>
          <w:spacing w:val="-4"/>
        </w:rPr>
        <w:t>按照排名分别占总加分的</w:t>
      </w:r>
      <w:r>
        <w:rPr>
          <w:rFonts w:ascii="Times New Roman" w:hAnsi="Times New Roman" w:eastAsia="Times New Roman" w:cs="Times New Roman"/>
          <w:spacing w:val="-4"/>
        </w:rPr>
        <w:t>60%</w:t>
      </w:r>
      <w:r>
        <w:rPr>
          <w:spacing w:val="-4"/>
        </w:rPr>
        <w:t>和</w:t>
      </w:r>
      <w:r>
        <w:rPr>
          <w:rFonts w:ascii="Times New Roman" w:hAnsi="Times New Roman" w:eastAsia="Times New Roman" w:cs="Times New Roman"/>
          <w:spacing w:val="-4"/>
        </w:rPr>
        <w:t>40%</w:t>
      </w:r>
      <w:r>
        <w:rPr>
          <w:spacing w:val="-4"/>
        </w:rPr>
        <w:t>记分；并列第一作者为</w:t>
      </w:r>
      <w:r>
        <w:rPr>
          <w:rFonts w:ascii="Times New Roman" w:hAnsi="Times New Roman" w:eastAsia="Times New Roman" w:cs="Times New Roman"/>
          <w:spacing w:val="-4"/>
        </w:rPr>
        <w:t>3</w:t>
      </w:r>
      <w:r>
        <w:rPr>
          <w:spacing w:val="-4"/>
        </w:rPr>
        <w:t>人时，</w:t>
      </w:r>
      <w:r>
        <w:rPr>
          <w:spacing w:val="9"/>
        </w:rPr>
        <w:t xml:space="preserve"> </w:t>
      </w:r>
      <w:r>
        <w:rPr>
          <w:spacing w:val="-5"/>
        </w:rPr>
        <w:t>按照排名分别占总加分的</w:t>
      </w:r>
      <w:r>
        <w:rPr>
          <w:rFonts w:ascii="Times New Roman" w:hAnsi="Times New Roman" w:eastAsia="Times New Roman" w:cs="Times New Roman"/>
          <w:spacing w:val="-5"/>
        </w:rPr>
        <w:t>50%</w:t>
      </w:r>
      <w:r>
        <w:rPr>
          <w:spacing w:val="-5"/>
        </w:rPr>
        <w:t>、</w:t>
      </w:r>
      <w:r>
        <w:rPr>
          <w:rFonts w:ascii="Times New Roman" w:hAnsi="Times New Roman" w:eastAsia="Times New Roman" w:cs="Times New Roman"/>
          <w:spacing w:val="-5"/>
        </w:rPr>
        <w:t>30%</w:t>
      </w:r>
      <w:r>
        <w:rPr>
          <w:spacing w:val="-5"/>
        </w:rPr>
        <w:t>和</w:t>
      </w:r>
      <w:r>
        <w:rPr>
          <w:rFonts w:ascii="Times New Roman" w:hAnsi="Times New Roman" w:eastAsia="Times New Roman" w:cs="Times New Roman"/>
          <w:spacing w:val="-5"/>
        </w:rPr>
        <w:t>20%</w:t>
      </w:r>
      <w:r>
        <w:rPr>
          <w:spacing w:val="-5"/>
        </w:rPr>
        <w:t>记分；并列第一作者为</w:t>
      </w:r>
    </w:p>
    <w:p>
      <w:pPr>
        <w:pStyle w:val="BodyText"/>
        <w:ind w:left="119"/>
        <w:spacing w:line="222" w:lineRule="auto"/>
        <w:rPr/>
      </w:pPr>
      <w:r>
        <w:rPr>
          <w:rFonts w:ascii="Times New Roman" w:hAnsi="Times New Roman" w:eastAsia="Times New Roman" w:cs="Times New Roman"/>
          <w:spacing w:val="-1"/>
        </w:rPr>
        <w:t>3</w:t>
      </w:r>
      <w:r>
        <w:rPr>
          <w:spacing w:val="-1"/>
        </w:rPr>
        <w:t>人以上时，按照排名从第</w:t>
      </w:r>
      <w:r>
        <w:rPr>
          <w:rFonts w:ascii="Times New Roman" w:hAnsi="Times New Roman" w:eastAsia="Times New Roman" w:cs="Times New Roman"/>
          <w:spacing w:val="-1"/>
        </w:rPr>
        <w:t>4</w:t>
      </w:r>
      <w:r>
        <w:rPr>
          <w:spacing w:val="-1"/>
        </w:rPr>
        <w:t>人开始不予加分。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123" w:right="604" w:firstLine="606"/>
        <w:spacing w:before="98" w:line="394" w:lineRule="auto"/>
        <w:jc w:val="both"/>
        <w:rPr/>
      </w:pPr>
      <w:r>
        <w:rPr>
          <w:spacing w:val="5"/>
        </w:rPr>
        <w:t>影响因子低于</w:t>
      </w:r>
      <w:r>
        <w:rPr>
          <w:rFonts w:ascii="Times New Roman" w:hAnsi="Times New Roman" w:eastAsia="Times New Roman" w:cs="Times New Roman"/>
          <w:spacing w:val="5"/>
        </w:rPr>
        <w:t>5</w:t>
      </w:r>
      <w:r>
        <w:rPr>
          <w:spacing w:val="5"/>
        </w:rPr>
        <w:t>分或中科院大类分区一区以下的论文只认可</w:t>
      </w:r>
      <w:r>
        <w:rPr>
          <w:spacing w:val="14"/>
        </w:rPr>
        <w:t xml:space="preserve"> </w:t>
      </w:r>
      <w:r>
        <w:rPr/>
        <w:t>排名第一位的作者。导师为第一，且为通讯作者时，排名第二的</w:t>
      </w:r>
    </w:p>
    <w:p>
      <w:pPr>
        <w:pStyle w:val="BodyText"/>
        <w:ind w:left="140"/>
        <w:spacing w:line="220" w:lineRule="auto"/>
        <w:rPr/>
      </w:pPr>
      <w:r>
        <w:rPr>
          <w:spacing w:val="-4"/>
        </w:rPr>
        <w:t>学生等同于第一作者。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pStyle w:val="BodyText"/>
        <w:ind w:left="733"/>
        <w:spacing w:before="97" w:line="221" w:lineRule="auto"/>
        <w:rPr/>
      </w:pPr>
      <w:r>
        <w:rPr>
          <w:spacing w:val="-4"/>
        </w:rPr>
        <w:t>单篇论文加分标准</w:t>
      </w:r>
    </w:p>
    <w:p>
      <w:pPr>
        <w:spacing w:line="146" w:lineRule="exact"/>
        <w:rPr/>
      </w:pPr>
      <w:r/>
    </w:p>
    <w:tbl>
      <w:tblPr>
        <w:tblStyle w:val="TableNormal"/>
        <w:tblW w:w="863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3945"/>
        <w:gridCol w:w="4688"/>
      </w:tblGrid>
      <w:tr>
        <w:trPr>
          <w:trHeight w:val="627" w:hRule="atLeast"/>
        </w:trPr>
        <w:tc>
          <w:tcPr>
            <w:tcW w:w="3945" w:type="dxa"/>
            <w:vAlign w:val="top"/>
          </w:tcPr>
          <w:p>
            <w:pPr>
              <w:pStyle w:val="TableText"/>
              <w:ind w:left="1512"/>
              <w:spacing w:before="194" w:line="221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6"/>
              </w:rPr>
              <w:t>发表刊物</w:t>
            </w:r>
          </w:p>
        </w:tc>
        <w:tc>
          <w:tcPr>
            <w:tcW w:w="4688" w:type="dxa"/>
            <w:vAlign w:val="top"/>
          </w:tcPr>
          <w:p>
            <w:pPr>
              <w:pStyle w:val="TableText"/>
              <w:ind w:left="2114"/>
              <w:spacing w:before="194" w:line="224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加分</w:t>
            </w:r>
          </w:p>
        </w:tc>
      </w:tr>
      <w:tr>
        <w:trPr>
          <w:trHeight w:val="1691" w:hRule="atLeast"/>
        </w:trPr>
        <w:tc>
          <w:tcPr>
            <w:tcW w:w="3945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8"/>
              <w:spacing w:before="78" w:line="224" w:lineRule="auto"/>
              <w:rPr/>
            </w:pPr>
            <w:r>
              <w:rPr>
                <w:spacing w:val="-1"/>
              </w:rPr>
              <w:t>SCI或SSCI论文</w:t>
            </w:r>
          </w:p>
        </w:tc>
        <w:tc>
          <w:tcPr>
            <w:tcW w:w="4688" w:type="dxa"/>
            <w:vAlign w:val="top"/>
          </w:tcPr>
          <w:p>
            <w:pPr>
              <w:pStyle w:val="TableText"/>
              <w:ind w:left="1091"/>
              <w:spacing w:before="102"/>
              <w:rPr/>
            </w:pPr>
            <w:r>
              <w:rPr>
                <w:spacing w:val="-1"/>
              </w:rPr>
              <w:t>20+IF*6（G1期刊论文）</w:t>
            </w:r>
          </w:p>
          <w:p>
            <w:pPr>
              <w:pStyle w:val="TableText"/>
              <w:ind w:left="1105"/>
              <w:spacing w:line="221" w:lineRule="auto"/>
              <w:rPr/>
            </w:pPr>
            <w:r>
              <w:rPr>
                <w:spacing w:val="-2"/>
              </w:rPr>
              <w:t>15+IF*5（G2期刊论文）</w:t>
            </w:r>
          </w:p>
          <w:p>
            <w:pPr>
              <w:pStyle w:val="TableText"/>
              <w:ind w:left="1165"/>
              <w:spacing w:before="21" w:line="222" w:lineRule="auto"/>
              <w:rPr/>
            </w:pPr>
            <w:r>
              <w:rPr>
                <w:spacing w:val="-2"/>
              </w:rPr>
              <w:t>10+IF*4（中科院1区）</w:t>
            </w:r>
          </w:p>
          <w:p>
            <w:pPr>
              <w:pStyle w:val="TableText"/>
              <w:ind w:left="1213"/>
              <w:spacing w:before="23" w:line="222" w:lineRule="auto"/>
              <w:rPr/>
            </w:pPr>
            <w:r>
              <w:rPr>
                <w:spacing w:val="-2"/>
              </w:rPr>
              <w:t>5+IF*3（中科院2区）</w:t>
            </w:r>
          </w:p>
          <w:p>
            <w:pPr>
              <w:pStyle w:val="TableText"/>
              <w:ind w:left="1210"/>
              <w:spacing w:before="24" w:line="222" w:lineRule="auto"/>
              <w:rPr/>
            </w:pPr>
            <w:r>
              <w:rPr>
                <w:spacing w:val="-1"/>
              </w:rPr>
              <w:t>0+IF*2（中科院3区）</w:t>
            </w:r>
          </w:p>
        </w:tc>
      </w:tr>
      <w:tr>
        <w:trPr>
          <w:trHeight w:val="487" w:hRule="atLeast"/>
        </w:trPr>
        <w:tc>
          <w:tcPr>
            <w:tcW w:w="3945" w:type="dxa"/>
            <w:vAlign w:val="top"/>
          </w:tcPr>
          <w:p>
            <w:pPr>
              <w:pStyle w:val="TableText"/>
              <w:ind w:left="1615"/>
              <w:spacing w:before="125" w:line="224" w:lineRule="auto"/>
              <w:rPr/>
            </w:pPr>
            <w:r>
              <w:rPr>
                <w:spacing w:val="-2"/>
              </w:rPr>
              <w:t>EI论文</w:t>
            </w:r>
          </w:p>
        </w:tc>
        <w:tc>
          <w:tcPr>
            <w:tcW w:w="4688" w:type="dxa"/>
            <w:vAlign w:val="top"/>
          </w:tcPr>
          <w:p>
            <w:pPr>
              <w:pStyle w:val="TableText"/>
              <w:ind w:left="2287"/>
              <w:spacing w:before="167" w:line="180" w:lineRule="auto"/>
              <w:rPr/>
            </w:pPr>
            <w:r>
              <w:rPr/>
              <w:t>4</w:t>
            </w:r>
          </w:p>
        </w:tc>
      </w:tr>
      <w:tr>
        <w:trPr>
          <w:trHeight w:val="502" w:hRule="atLeast"/>
        </w:trPr>
        <w:tc>
          <w:tcPr>
            <w:tcW w:w="3945" w:type="dxa"/>
            <w:vAlign w:val="top"/>
          </w:tcPr>
          <w:p>
            <w:pPr>
              <w:pStyle w:val="TableText"/>
              <w:ind w:left="569"/>
              <w:spacing w:before="129" w:line="222" w:lineRule="auto"/>
              <w:rPr/>
            </w:pPr>
            <w:r>
              <w:rPr>
                <w:spacing w:val="-4"/>
              </w:rPr>
              <w:t>以农学院认定的中文G4期刊</w:t>
            </w:r>
          </w:p>
        </w:tc>
        <w:tc>
          <w:tcPr>
            <w:tcW w:w="4688" w:type="dxa"/>
            <w:vAlign w:val="top"/>
          </w:tcPr>
          <w:p>
            <w:pPr>
              <w:pStyle w:val="TableText"/>
              <w:ind w:left="2293"/>
              <w:spacing w:before="171" w:line="180" w:lineRule="auto"/>
              <w:rPr/>
            </w:pPr>
            <w:r>
              <w:rPr/>
              <w:t>3</w:t>
            </w:r>
          </w:p>
        </w:tc>
      </w:tr>
    </w:tbl>
    <w:p>
      <w:pPr>
        <w:pStyle w:val="BodyText"/>
        <w:ind w:left="732"/>
        <w:spacing w:before="255" w:line="222" w:lineRule="auto"/>
        <w:rPr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）学科竞赛或创新创业类竞赛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729"/>
        <w:spacing w:before="98" w:line="641" w:lineRule="exact"/>
        <w:rPr/>
      </w:pPr>
      <w:r>
        <w:rPr>
          <w:position w:val="25"/>
        </w:rPr>
        <w:t>在国家级、省级学科竞赛或创新创业类竞赛中获</w:t>
      </w:r>
      <w:r>
        <w:rPr>
          <w:spacing w:val="-1"/>
          <w:position w:val="25"/>
        </w:rPr>
        <w:t>奖，按照以</w:t>
      </w:r>
    </w:p>
    <w:p>
      <w:pPr>
        <w:pStyle w:val="BodyText"/>
        <w:ind w:left="133"/>
        <w:spacing w:line="221" w:lineRule="auto"/>
        <w:rPr/>
      </w:pPr>
      <w:r>
        <w:rPr>
          <w:spacing w:val="-3"/>
        </w:rPr>
        <w:t>下标准获得相应分值。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left="740"/>
        <w:spacing w:before="98" w:line="222" w:lineRule="auto"/>
        <w:rPr/>
      </w:pPr>
      <w:r>
        <w:rPr>
          <w:spacing w:val="-3"/>
        </w:rPr>
        <w:t>学科竞赛或创新创业类竞赛加分标准</w:t>
      </w:r>
    </w:p>
    <w:p>
      <w:pPr>
        <w:spacing w:line="145" w:lineRule="exact"/>
        <w:rPr/>
      </w:pPr>
      <w:r/>
    </w:p>
    <w:tbl>
      <w:tblPr>
        <w:tblStyle w:val="TableNormal"/>
        <w:tblW w:w="9023" w:type="dxa"/>
        <w:tblInd w:w="104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257"/>
        <w:gridCol w:w="2254"/>
        <w:gridCol w:w="2254"/>
        <w:gridCol w:w="2258"/>
      </w:tblGrid>
      <w:tr>
        <w:trPr>
          <w:trHeight w:val="618" w:hRule="atLeast"/>
        </w:trPr>
        <w:tc>
          <w:tcPr>
            <w:tcW w:w="2257" w:type="dxa"/>
            <w:vAlign w:val="top"/>
          </w:tcPr>
          <w:p>
            <w:pPr>
              <w:pStyle w:val="TableText"/>
              <w:ind w:left="681"/>
              <w:spacing w:before="189" w:line="223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4"/>
              </w:rPr>
              <w:t>项目级别</w:t>
            </w:r>
          </w:p>
        </w:tc>
        <w:tc>
          <w:tcPr>
            <w:tcW w:w="2254" w:type="dxa"/>
            <w:vAlign w:val="top"/>
          </w:tcPr>
          <w:p>
            <w:pPr>
              <w:pStyle w:val="TableText"/>
              <w:ind w:left="801"/>
              <w:spacing w:before="189" w:line="222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6"/>
              </w:rPr>
              <w:t>一等奖</w:t>
            </w:r>
          </w:p>
        </w:tc>
        <w:tc>
          <w:tcPr>
            <w:tcW w:w="2254" w:type="dxa"/>
            <w:vAlign w:val="top"/>
          </w:tcPr>
          <w:p>
            <w:pPr>
              <w:pStyle w:val="TableText"/>
              <w:ind w:left="807"/>
              <w:spacing w:before="189" w:line="222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二等奖</w:t>
            </w:r>
          </w:p>
        </w:tc>
        <w:tc>
          <w:tcPr>
            <w:tcW w:w="2258" w:type="dxa"/>
            <w:vAlign w:val="top"/>
          </w:tcPr>
          <w:p>
            <w:pPr>
              <w:pStyle w:val="TableText"/>
              <w:ind w:left="808"/>
              <w:spacing w:before="189" w:line="222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7"/>
              </w:rPr>
              <w:t>三等奖</w:t>
            </w:r>
          </w:p>
        </w:tc>
      </w:tr>
      <w:tr>
        <w:trPr>
          <w:trHeight w:val="552" w:hRule="atLeast"/>
        </w:trPr>
        <w:tc>
          <w:tcPr>
            <w:tcW w:w="2257" w:type="dxa"/>
            <w:vAlign w:val="top"/>
          </w:tcPr>
          <w:p>
            <w:pPr>
              <w:pStyle w:val="TableText"/>
              <w:ind w:left="787"/>
              <w:spacing w:before="156" w:line="223" w:lineRule="auto"/>
              <w:rPr/>
            </w:pPr>
            <w:r>
              <w:rPr>
                <w:spacing w:val="-15"/>
              </w:rPr>
              <w:t>国家级</w:t>
            </w:r>
          </w:p>
        </w:tc>
        <w:tc>
          <w:tcPr>
            <w:tcW w:w="2254" w:type="dxa"/>
            <w:vAlign w:val="top"/>
          </w:tcPr>
          <w:p>
            <w:pPr>
              <w:pStyle w:val="TableText"/>
              <w:ind w:left="1050"/>
              <w:spacing w:before="198" w:line="180" w:lineRule="auto"/>
              <w:rPr/>
            </w:pPr>
            <w:r>
              <w:rPr/>
              <w:t>8</w:t>
            </w:r>
          </w:p>
        </w:tc>
        <w:tc>
          <w:tcPr>
            <w:tcW w:w="2254" w:type="dxa"/>
            <w:vAlign w:val="top"/>
          </w:tcPr>
          <w:p>
            <w:pPr>
              <w:pStyle w:val="TableText"/>
              <w:ind w:left="1054"/>
              <w:spacing w:before="199" w:line="179" w:lineRule="auto"/>
              <w:rPr/>
            </w:pPr>
            <w:r>
              <w:rPr/>
              <w:t>7</w:t>
            </w:r>
          </w:p>
        </w:tc>
        <w:tc>
          <w:tcPr>
            <w:tcW w:w="2258" w:type="dxa"/>
            <w:vAlign w:val="top"/>
          </w:tcPr>
          <w:p>
            <w:pPr>
              <w:pStyle w:val="TableText"/>
              <w:ind w:left="1052"/>
              <w:spacing w:before="198" w:line="180" w:lineRule="auto"/>
              <w:rPr/>
            </w:pPr>
            <w:r>
              <w:rPr/>
              <w:t>6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6" w:h="16840"/>
          <w:pgMar w:top="1431" w:right="1181" w:bottom="0" w:left="1594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9023" w:type="dxa"/>
        <w:tblInd w:w="110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257"/>
        <w:gridCol w:w="2254"/>
        <w:gridCol w:w="2254"/>
        <w:gridCol w:w="2258"/>
      </w:tblGrid>
      <w:tr>
        <w:trPr>
          <w:trHeight w:val="585" w:hRule="atLeast"/>
        </w:trPr>
        <w:tc>
          <w:tcPr>
            <w:tcW w:w="2257" w:type="dxa"/>
            <w:vAlign w:val="top"/>
          </w:tcPr>
          <w:p>
            <w:pPr>
              <w:pStyle w:val="TableText"/>
              <w:ind w:left="762"/>
              <w:spacing w:before="173" w:line="222" w:lineRule="auto"/>
              <w:rPr/>
            </w:pPr>
            <w:r>
              <w:rPr>
                <w:spacing w:val="-6"/>
              </w:rPr>
              <w:t>省部级</w:t>
            </w:r>
          </w:p>
        </w:tc>
        <w:tc>
          <w:tcPr>
            <w:tcW w:w="2254" w:type="dxa"/>
            <w:vAlign w:val="top"/>
          </w:tcPr>
          <w:p>
            <w:pPr>
              <w:pStyle w:val="TableText"/>
              <w:ind w:left="1054"/>
              <w:spacing w:before="214" w:line="180" w:lineRule="auto"/>
              <w:rPr/>
            </w:pPr>
            <w:r>
              <w:rPr/>
              <w:t>3</w:t>
            </w:r>
          </w:p>
        </w:tc>
        <w:tc>
          <w:tcPr>
            <w:tcW w:w="2254" w:type="dxa"/>
            <w:vAlign w:val="top"/>
          </w:tcPr>
          <w:p>
            <w:pPr>
              <w:pStyle w:val="TableText"/>
              <w:ind w:left="1051"/>
              <w:spacing w:before="215" w:line="180" w:lineRule="auto"/>
              <w:rPr/>
            </w:pPr>
            <w:r>
              <w:rPr/>
              <w:t>2</w:t>
            </w:r>
          </w:p>
        </w:tc>
        <w:tc>
          <w:tcPr>
            <w:tcW w:w="2258" w:type="dxa"/>
            <w:vAlign w:val="top"/>
          </w:tcPr>
          <w:p>
            <w:pPr>
              <w:pStyle w:val="TableText"/>
              <w:ind w:left="1068"/>
              <w:spacing w:before="213" w:line="181" w:lineRule="auto"/>
              <w:rPr/>
            </w:pPr>
            <w:r>
              <w:rPr/>
              <w:t>1</w:t>
            </w:r>
          </w:p>
        </w:tc>
      </w:tr>
    </w:tbl>
    <w:p>
      <w:pPr>
        <w:pStyle w:val="BodyText"/>
        <w:ind w:left="133" w:right="604" w:firstLine="630"/>
        <w:spacing w:before="253" w:line="394" w:lineRule="auto"/>
        <w:rPr/>
      </w:pPr>
      <w:r>
        <w:rPr>
          <w:spacing w:val="-1"/>
        </w:rPr>
        <w:t>以个人形式获奖，按照上表分值积分；以团</w:t>
      </w:r>
      <w:r>
        <w:rPr>
          <w:spacing w:val="-2"/>
        </w:rPr>
        <w:t>队形式获奖，除</w:t>
      </w:r>
      <w:r>
        <w:rPr/>
        <w:t xml:space="preserve"> </w:t>
      </w:r>
      <w:r>
        <w:rPr>
          <w:spacing w:val="2"/>
        </w:rPr>
        <w:t>指导教师外，第一完成人获得项目总分的</w:t>
      </w:r>
      <w:r>
        <w:rPr>
          <w:rFonts w:ascii="Times New Roman" w:hAnsi="Times New Roman" w:eastAsia="Times New Roman" w:cs="Times New Roman"/>
          <w:spacing w:val="2"/>
        </w:rPr>
        <w:t>4</w:t>
      </w:r>
      <w:r>
        <w:rPr>
          <w:rFonts w:ascii="Times New Roman" w:hAnsi="Times New Roman" w:eastAsia="Times New Roman" w:cs="Times New Roman"/>
          <w:spacing w:val="1"/>
        </w:rPr>
        <w:t>0%</w:t>
      </w:r>
      <w:r>
        <w:rPr>
          <w:spacing w:val="1"/>
        </w:rPr>
        <w:t>分值，第二完成人</w:t>
      </w:r>
      <w:r>
        <w:rPr/>
        <w:t xml:space="preserve"> </w:t>
      </w:r>
      <w:r>
        <w:rPr>
          <w:spacing w:val="2"/>
        </w:rPr>
        <w:t>获得项目总分的</w:t>
      </w:r>
      <w:r>
        <w:rPr>
          <w:rFonts w:ascii="Times New Roman" w:hAnsi="Times New Roman" w:eastAsia="Times New Roman" w:cs="Times New Roman"/>
          <w:spacing w:val="2"/>
        </w:rPr>
        <w:t>30%</w:t>
      </w:r>
      <w:r>
        <w:rPr>
          <w:spacing w:val="2"/>
        </w:rPr>
        <w:t>分值，其余参与人平</w:t>
      </w:r>
      <w:r>
        <w:rPr>
          <w:spacing w:val="1"/>
        </w:rPr>
        <w:t>分剩余的分值。每名学</w:t>
      </w:r>
      <w:r>
        <w:rPr/>
        <w:t xml:space="preserve"> </w:t>
      </w:r>
      <w:r>
        <w:rPr/>
        <w:t>生在一年的评奖过程中只认定一项学科竞赛或创新创业类竞</w:t>
      </w:r>
      <w:r>
        <w:rPr>
          <w:spacing w:val="-1"/>
        </w:rPr>
        <w:t>赛，</w:t>
      </w:r>
      <w:r>
        <w:rPr/>
        <w:t xml:space="preserve"> </w:t>
      </w:r>
      <w:r>
        <w:rPr/>
        <w:t>同时获得多项奖项者，只计最高一项得分，不累加。学科竞</w:t>
      </w:r>
      <w:r>
        <w:rPr>
          <w:spacing w:val="-1"/>
        </w:rPr>
        <w:t>赛或</w:t>
      </w:r>
    </w:p>
    <w:p>
      <w:pPr>
        <w:pStyle w:val="BodyText"/>
        <w:ind w:left="135"/>
        <w:spacing w:line="220" w:lineRule="auto"/>
        <w:rPr/>
      </w:pPr>
      <w:r>
        <w:rPr>
          <w:spacing w:val="-2"/>
        </w:rPr>
        <w:t>创新创业类竞赛获奖均须提供证明材料。</w:t>
      </w:r>
    </w:p>
    <w:p>
      <w:pPr>
        <w:spacing w:line="304" w:lineRule="auto"/>
        <w:rPr>
          <w:rFonts w:ascii="Arial"/>
          <w:sz w:val="21"/>
        </w:rPr>
      </w:pPr>
      <w:r/>
    </w:p>
    <w:p>
      <w:pPr>
        <w:pStyle w:val="BodyText"/>
        <w:ind w:left="738"/>
        <w:spacing w:before="97" w:line="222" w:lineRule="auto"/>
        <w:rPr/>
      </w:pPr>
      <w:r>
        <w:rPr>
          <w:spacing w:val="-4"/>
        </w:rPr>
        <w:t>（</w:t>
      </w:r>
      <w:r>
        <w:rPr>
          <w:rFonts w:ascii="Times New Roman" w:hAnsi="Times New Roman" w:eastAsia="Times New Roman" w:cs="Times New Roman"/>
          <w:spacing w:val="-4"/>
        </w:rPr>
        <w:t>3</w:t>
      </w:r>
      <w:r>
        <w:rPr>
          <w:spacing w:val="-4"/>
        </w:rPr>
        <w:t>）学术会议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138" w:right="603" w:firstLine="597"/>
        <w:spacing w:before="97" w:line="394" w:lineRule="auto"/>
        <w:jc w:val="both"/>
        <w:rPr/>
      </w:pPr>
      <w:r>
        <w:rPr/>
        <w:t>在由国际学术组织或国家一级学会主办的国际、</w:t>
      </w:r>
      <w:r>
        <w:rPr>
          <w:spacing w:val="-1"/>
        </w:rPr>
        <w:t>国家级学术</w:t>
      </w:r>
      <w:r>
        <w:rPr/>
        <w:t xml:space="preserve"> </w:t>
      </w:r>
      <w:r>
        <w:rPr/>
        <w:t>会议中作报告加</w:t>
      </w:r>
      <w:r>
        <w:rPr>
          <w:rFonts w:ascii="Times New Roman" w:hAnsi="Times New Roman" w:eastAsia="Times New Roman" w:cs="Times New Roman"/>
        </w:rPr>
        <w:t>8</w:t>
      </w:r>
      <w:r>
        <w:rPr/>
        <w:t>分，省部级及以上学术会议中作</w:t>
      </w:r>
      <w:r>
        <w:rPr>
          <w:spacing w:val="-1"/>
        </w:rPr>
        <w:t>报告加</w:t>
      </w: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spacing w:val="-1"/>
        </w:rPr>
        <w:t>分；在</w:t>
      </w:r>
      <w:r>
        <w:rPr/>
        <w:t xml:space="preserve"> </w:t>
      </w:r>
      <w:r>
        <w:rPr>
          <w:spacing w:val="-6"/>
        </w:rPr>
        <w:t>国际学术会议中进行墙报展示（第一作者）加</w:t>
      </w:r>
      <w:r>
        <w:rPr>
          <w:rFonts w:ascii="Times New Roman" w:hAnsi="Times New Roman" w:eastAsia="Times New Roman" w:cs="Times New Roman"/>
          <w:spacing w:val="-6"/>
        </w:rPr>
        <w:t>3</w:t>
      </w:r>
      <w:r>
        <w:rPr>
          <w:spacing w:val="-6"/>
        </w:rPr>
        <w:t>分，国内学术会议</w:t>
      </w:r>
      <w:r>
        <w:rPr>
          <w:spacing w:val="17"/>
        </w:rPr>
        <w:t xml:space="preserve"> </w:t>
      </w:r>
      <w:r>
        <w:rPr>
          <w:spacing w:val="-6"/>
        </w:rPr>
        <w:t>中进行墙报展示（第一作者）加</w:t>
      </w:r>
      <w:r>
        <w:rPr>
          <w:rFonts w:ascii="Times New Roman" w:hAnsi="Times New Roman" w:eastAsia="Times New Roman" w:cs="Times New Roman"/>
          <w:spacing w:val="-6"/>
        </w:rPr>
        <w:t>1</w:t>
      </w:r>
      <w:r>
        <w:rPr>
          <w:spacing w:val="-6"/>
        </w:rPr>
        <w:t>分；在校级以上研究生学术论坛</w:t>
      </w:r>
      <w:r>
        <w:rPr>
          <w:spacing w:val="17"/>
        </w:rPr>
        <w:t xml:space="preserve"> </w:t>
      </w:r>
      <w:r>
        <w:rPr/>
        <w:t>作报告加</w:t>
      </w:r>
      <w:r>
        <w:rPr>
          <w:rFonts w:ascii="Times New Roman" w:hAnsi="Times New Roman" w:eastAsia="Times New Roman" w:cs="Times New Roman"/>
        </w:rPr>
        <w:t>2</w:t>
      </w:r>
      <w:r>
        <w:rPr/>
        <w:t>分，校级研究生学术论坛作报告加</w:t>
      </w:r>
      <w:r>
        <w:rPr>
          <w:rFonts w:ascii="Times New Roman" w:hAnsi="Times New Roman" w:eastAsia="Times New Roman" w:cs="Times New Roman"/>
        </w:rPr>
        <w:t>1</w:t>
      </w:r>
      <w:r>
        <w:rPr/>
        <w:t>分</w:t>
      </w:r>
      <w:r>
        <w:rPr>
          <w:spacing w:val="-1"/>
        </w:rPr>
        <w:t>。作报告和墙报</w:t>
      </w:r>
    </w:p>
    <w:p>
      <w:pPr>
        <w:pStyle w:val="BodyText"/>
        <w:ind w:left="134"/>
        <w:spacing w:line="220" w:lineRule="auto"/>
        <w:rPr/>
      </w:pPr>
      <w:r>
        <w:rPr>
          <w:spacing w:val="-2"/>
        </w:rPr>
        <w:t>展示均须提供证明材料。</w:t>
      </w:r>
    </w:p>
    <w:p>
      <w:pPr>
        <w:spacing w:line="304" w:lineRule="auto"/>
        <w:rPr>
          <w:rFonts w:ascii="Arial"/>
          <w:sz w:val="21"/>
        </w:rPr>
      </w:pPr>
      <w:r/>
    </w:p>
    <w:p>
      <w:pPr>
        <w:pStyle w:val="BodyText"/>
        <w:ind w:left="738"/>
        <w:spacing w:before="98" w:line="222" w:lineRule="auto"/>
        <w:rPr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4</w:t>
      </w:r>
      <w:r>
        <w:rPr>
          <w:spacing w:val="-3"/>
        </w:rPr>
        <w:t>）科研成果获奖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734"/>
        <w:spacing w:before="98" w:line="222" w:lineRule="auto"/>
        <w:rPr/>
      </w:pPr>
      <w:r>
        <w:rPr>
          <w:spacing w:val="-3"/>
        </w:rPr>
        <w:t>科研成果获奖加分标准</w:t>
      </w:r>
    </w:p>
    <w:p>
      <w:pPr>
        <w:spacing w:line="144" w:lineRule="exact"/>
        <w:rPr/>
      </w:pPr>
      <w:r/>
    </w:p>
    <w:tbl>
      <w:tblPr>
        <w:tblStyle w:val="TableNormal"/>
        <w:tblW w:w="863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69"/>
        <w:gridCol w:w="1610"/>
        <w:gridCol w:w="1159"/>
        <w:gridCol w:w="4601"/>
      </w:tblGrid>
      <w:tr>
        <w:trPr>
          <w:trHeight w:val="463" w:hRule="atLeast"/>
        </w:trPr>
        <w:tc>
          <w:tcPr>
            <w:tcW w:w="4038" w:type="dxa"/>
            <w:vAlign w:val="top"/>
            <w:gridSpan w:val="3"/>
          </w:tcPr>
          <w:p>
            <w:pPr>
              <w:pStyle w:val="TableText"/>
              <w:ind w:left="1557"/>
              <w:spacing w:before="112" w:line="222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5"/>
              </w:rPr>
              <w:t>奖励级别</w:t>
            </w:r>
          </w:p>
        </w:tc>
        <w:tc>
          <w:tcPr>
            <w:tcW w:w="4601" w:type="dxa"/>
            <w:vAlign w:val="top"/>
          </w:tcPr>
          <w:p>
            <w:pPr>
              <w:pStyle w:val="TableText"/>
              <w:ind w:left="2071"/>
              <w:spacing w:before="112" w:line="224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加分</w:t>
            </w:r>
          </w:p>
        </w:tc>
      </w:tr>
      <w:tr>
        <w:trPr>
          <w:trHeight w:val="459" w:hRule="atLeast"/>
        </w:trPr>
        <w:tc>
          <w:tcPr>
            <w:tcW w:w="1269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9"/>
              <w:spacing w:before="78" w:line="222" w:lineRule="auto"/>
              <w:rPr/>
            </w:pPr>
            <w:r>
              <w:rPr>
                <w:spacing w:val="-6"/>
              </w:rPr>
              <w:t>省部级</w:t>
            </w:r>
          </w:p>
        </w:tc>
        <w:tc>
          <w:tcPr>
            <w:tcW w:w="1610" w:type="dxa"/>
            <w:vAlign w:val="top"/>
            <w:vMerge w:val="restart"/>
            <w:tcBorders>
              <w:bottom w:val="nil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7"/>
              <w:spacing w:before="78" w:line="222" w:lineRule="auto"/>
              <w:rPr/>
            </w:pPr>
            <w:r>
              <w:rPr>
                <w:spacing w:val="-4"/>
              </w:rPr>
              <w:t>科技进步奖</w:t>
            </w:r>
          </w:p>
        </w:tc>
        <w:tc>
          <w:tcPr>
            <w:tcW w:w="1159" w:type="dxa"/>
            <w:vAlign w:val="top"/>
          </w:tcPr>
          <w:p>
            <w:pPr>
              <w:pStyle w:val="TableText"/>
              <w:ind w:left="237"/>
              <w:spacing w:before="108" w:line="222" w:lineRule="auto"/>
              <w:rPr/>
            </w:pPr>
            <w:r>
              <w:rPr>
                <w:spacing w:val="-7"/>
              </w:rPr>
              <w:t>一等奖</w:t>
            </w:r>
          </w:p>
        </w:tc>
        <w:tc>
          <w:tcPr>
            <w:tcW w:w="4601" w:type="dxa"/>
            <w:vAlign w:val="top"/>
          </w:tcPr>
          <w:p>
            <w:pPr>
              <w:pStyle w:val="TableText"/>
              <w:ind w:left="123"/>
              <w:spacing w:before="107" w:line="222" w:lineRule="auto"/>
              <w:rPr/>
            </w:pPr>
            <w:r>
              <w:rPr>
                <w:spacing w:val="-3"/>
              </w:rPr>
              <w:t>前8名依次加12、10、8、6、4、3、2</w:t>
            </w:r>
            <w:r>
              <w:rPr>
                <w:spacing w:val="-4"/>
              </w:rPr>
              <w:t>、1分</w:t>
            </w:r>
          </w:p>
        </w:tc>
      </w:tr>
      <w:tr>
        <w:trPr>
          <w:trHeight w:val="459" w:hRule="atLeast"/>
        </w:trPr>
        <w:tc>
          <w:tcPr>
            <w:tcW w:w="126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pStyle w:val="TableText"/>
              <w:ind w:left="240"/>
              <w:spacing w:before="109" w:line="222" w:lineRule="auto"/>
              <w:rPr/>
            </w:pPr>
            <w:r>
              <w:rPr>
                <w:spacing w:val="-8"/>
              </w:rPr>
              <w:t>二等奖</w:t>
            </w:r>
          </w:p>
        </w:tc>
        <w:tc>
          <w:tcPr>
            <w:tcW w:w="4601" w:type="dxa"/>
            <w:vAlign w:val="top"/>
          </w:tcPr>
          <w:p>
            <w:pPr>
              <w:pStyle w:val="TableText"/>
              <w:ind w:left="754"/>
              <w:spacing w:before="108" w:line="222" w:lineRule="auto"/>
              <w:rPr/>
            </w:pPr>
            <w:r>
              <w:rPr>
                <w:spacing w:val="-2"/>
              </w:rPr>
              <w:t>前5名依次加5、4、3、2、1分</w:t>
            </w:r>
          </w:p>
        </w:tc>
      </w:tr>
      <w:tr>
        <w:trPr>
          <w:trHeight w:val="459" w:hRule="atLeast"/>
        </w:trPr>
        <w:tc>
          <w:tcPr>
            <w:tcW w:w="126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0" w:type="dxa"/>
            <w:vAlign w:val="top"/>
            <w:vMerge w:val="restart"/>
            <w:tcBorders>
              <w:bottom w:val="nil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7"/>
              <w:spacing w:before="78" w:line="222" w:lineRule="auto"/>
              <w:rPr/>
            </w:pPr>
            <w:r>
              <w:rPr>
                <w:spacing w:val="-6"/>
              </w:rPr>
              <w:t>推广奖</w:t>
            </w:r>
          </w:p>
        </w:tc>
        <w:tc>
          <w:tcPr>
            <w:tcW w:w="1159" w:type="dxa"/>
            <w:vAlign w:val="top"/>
          </w:tcPr>
          <w:p>
            <w:pPr>
              <w:pStyle w:val="TableText"/>
              <w:ind w:left="237"/>
              <w:spacing w:before="111" w:line="222" w:lineRule="auto"/>
              <w:rPr/>
            </w:pPr>
            <w:r>
              <w:rPr>
                <w:spacing w:val="-7"/>
              </w:rPr>
              <w:t>一等奖</w:t>
            </w:r>
          </w:p>
        </w:tc>
        <w:tc>
          <w:tcPr>
            <w:tcW w:w="4601" w:type="dxa"/>
            <w:vAlign w:val="top"/>
          </w:tcPr>
          <w:p>
            <w:pPr>
              <w:pStyle w:val="TableText"/>
              <w:ind w:left="874"/>
              <w:spacing w:before="110" w:line="222" w:lineRule="auto"/>
              <w:rPr/>
            </w:pPr>
            <w:r>
              <w:rPr>
                <w:spacing w:val="-2"/>
              </w:rPr>
              <w:t>前4名依次加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8、6、4、2分</w:t>
            </w:r>
          </w:p>
        </w:tc>
      </w:tr>
      <w:tr>
        <w:trPr>
          <w:trHeight w:val="464" w:hRule="atLeast"/>
        </w:trPr>
        <w:tc>
          <w:tcPr>
            <w:tcW w:w="126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pStyle w:val="TableText"/>
              <w:ind w:left="240"/>
              <w:spacing w:before="112" w:line="222" w:lineRule="auto"/>
              <w:rPr/>
            </w:pPr>
            <w:r>
              <w:rPr>
                <w:spacing w:val="-8"/>
              </w:rPr>
              <w:t>二等奖</w:t>
            </w:r>
          </w:p>
        </w:tc>
        <w:tc>
          <w:tcPr>
            <w:tcW w:w="4601" w:type="dxa"/>
            <w:vAlign w:val="top"/>
          </w:tcPr>
          <w:p>
            <w:pPr>
              <w:pStyle w:val="TableText"/>
              <w:ind w:left="1294"/>
              <w:spacing w:before="111" w:line="222" w:lineRule="auto"/>
              <w:rPr/>
            </w:pPr>
            <w:r>
              <w:rPr>
                <w:spacing w:val="-2"/>
              </w:rPr>
              <w:t>前2名依次加4、2分</w:t>
            </w:r>
          </w:p>
        </w:tc>
      </w:tr>
    </w:tbl>
    <w:p>
      <w:pPr>
        <w:pStyle w:val="BodyText"/>
        <w:ind w:left="738"/>
        <w:spacing w:before="256" w:line="222" w:lineRule="auto"/>
        <w:rPr/>
      </w:pPr>
      <w:r>
        <w:rPr>
          <w:spacing w:val="-4"/>
        </w:rPr>
        <w:t>（</w:t>
      </w:r>
      <w:r>
        <w:rPr>
          <w:rFonts w:ascii="Times New Roman" w:hAnsi="Times New Roman" w:eastAsia="Times New Roman" w:cs="Times New Roman"/>
          <w:spacing w:val="-4"/>
        </w:rPr>
        <w:t>5</w:t>
      </w:r>
      <w:r>
        <w:rPr>
          <w:spacing w:val="-4"/>
        </w:rPr>
        <w:t>）获批专利</w:t>
      </w:r>
    </w:p>
    <w:p>
      <w:pPr>
        <w:spacing w:line="222" w:lineRule="auto"/>
        <w:sectPr>
          <w:pgSz w:w="11906" w:h="16840"/>
          <w:pgMar w:top="1430" w:right="1181" w:bottom="0" w:left="1588" w:header="0" w:footer="0" w:gutter="0"/>
        </w:sectPr>
        <w:rPr/>
      </w:pPr>
    </w:p>
    <w:p>
      <w:pPr>
        <w:pStyle w:val="BodyText"/>
        <w:ind w:left="738"/>
        <w:spacing w:before="255" w:line="639" w:lineRule="exact"/>
        <w:rPr/>
      </w:pPr>
      <w:r>
        <w:rPr>
          <w:spacing w:val="-3"/>
          <w:position w:val="26"/>
        </w:rPr>
        <w:t>获批国家发明专利前三名加分，依次加</w:t>
      </w:r>
      <w:r>
        <w:rPr>
          <w:rFonts w:ascii="Times New Roman" w:hAnsi="Times New Roman" w:eastAsia="Times New Roman" w:cs="Times New Roman"/>
          <w:spacing w:val="-3"/>
          <w:position w:val="26"/>
        </w:rPr>
        <w:t>10</w:t>
      </w:r>
      <w:r>
        <w:rPr>
          <w:spacing w:val="-3"/>
          <w:position w:val="26"/>
        </w:rPr>
        <w:t>、</w:t>
      </w:r>
      <w:r>
        <w:rPr>
          <w:rFonts w:ascii="Times New Roman" w:hAnsi="Times New Roman" w:eastAsia="Times New Roman" w:cs="Times New Roman"/>
          <w:spacing w:val="-3"/>
          <w:position w:val="26"/>
        </w:rPr>
        <w:t>6</w:t>
      </w:r>
      <w:r>
        <w:rPr>
          <w:spacing w:val="-3"/>
          <w:position w:val="26"/>
        </w:rPr>
        <w:t>、</w:t>
      </w:r>
      <w:r>
        <w:rPr>
          <w:rFonts w:ascii="Times New Roman" w:hAnsi="Times New Roman" w:eastAsia="Times New Roman" w:cs="Times New Roman"/>
          <w:spacing w:val="-3"/>
          <w:position w:val="26"/>
        </w:rPr>
        <w:t>4</w:t>
      </w:r>
      <w:r>
        <w:rPr>
          <w:spacing w:val="-3"/>
          <w:position w:val="26"/>
        </w:rPr>
        <w:t>分</w:t>
      </w:r>
      <w:r>
        <w:rPr>
          <w:rFonts w:ascii="Times New Roman" w:hAnsi="Times New Roman" w:eastAsia="Times New Roman" w:cs="Times New Roman"/>
          <w:spacing w:val="-3"/>
          <w:position w:val="26"/>
        </w:rPr>
        <w:t>,</w:t>
      </w:r>
      <w:r>
        <w:rPr>
          <w:spacing w:val="-3"/>
          <w:position w:val="26"/>
        </w:rPr>
        <w:t>其它专利</w:t>
      </w:r>
    </w:p>
    <w:p>
      <w:pPr>
        <w:pStyle w:val="BodyText"/>
        <w:ind w:left="146"/>
        <w:spacing w:line="222" w:lineRule="auto"/>
        <w:rPr/>
      </w:pPr>
      <w:r>
        <w:rPr>
          <w:spacing w:val="-5"/>
        </w:rPr>
        <w:t>第一名加</w:t>
      </w:r>
      <w:r>
        <w:rPr>
          <w:rFonts w:ascii="Times New Roman" w:hAnsi="Times New Roman" w:eastAsia="Times New Roman" w:cs="Times New Roman"/>
          <w:spacing w:val="-5"/>
        </w:rPr>
        <w:t>2</w:t>
      </w:r>
      <w:r>
        <w:rPr>
          <w:spacing w:val="-5"/>
        </w:rPr>
        <w:t>分。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left="738"/>
        <w:spacing w:before="98" w:line="221" w:lineRule="auto"/>
        <w:rPr/>
      </w:pPr>
      <w:r>
        <w:rPr>
          <w:spacing w:val="-6"/>
        </w:rPr>
        <w:t>（</w:t>
      </w:r>
      <w:r>
        <w:rPr>
          <w:rFonts w:ascii="Times New Roman" w:hAnsi="Times New Roman" w:eastAsia="Times New Roman" w:cs="Times New Roman"/>
          <w:spacing w:val="-6"/>
        </w:rPr>
        <w:t>6</w:t>
      </w:r>
      <w:r>
        <w:rPr>
          <w:spacing w:val="-6"/>
        </w:rPr>
        <w:t>）品种</w:t>
      </w:r>
    </w:p>
    <w:p>
      <w:pPr>
        <w:spacing w:line="302" w:lineRule="auto"/>
        <w:rPr>
          <w:rFonts w:ascii="Arial"/>
          <w:sz w:val="21"/>
        </w:rPr>
      </w:pPr>
      <w:r/>
    </w:p>
    <w:p>
      <w:pPr>
        <w:pStyle w:val="BodyText"/>
        <w:ind w:left="766"/>
        <w:spacing w:before="97" w:line="221" w:lineRule="auto"/>
        <w:rPr/>
      </w:pPr>
      <w:r>
        <w:rPr>
          <w:spacing w:val="-9"/>
        </w:rPr>
        <w:t>品种加分标准</w:t>
      </w:r>
    </w:p>
    <w:p>
      <w:pPr>
        <w:spacing w:line="144" w:lineRule="exact"/>
        <w:rPr/>
      </w:pPr>
      <w:r/>
    </w:p>
    <w:tbl>
      <w:tblPr>
        <w:tblStyle w:val="TableNormal"/>
        <w:tblW w:w="863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328"/>
        <w:gridCol w:w="4311"/>
      </w:tblGrid>
      <w:tr>
        <w:trPr>
          <w:trHeight w:val="500" w:hRule="atLeast"/>
        </w:trPr>
        <w:tc>
          <w:tcPr>
            <w:tcW w:w="4328" w:type="dxa"/>
            <w:vAlign w:val="top"/>
          </w:tcPr>
          <w:p>
            <w:pPr>
              <w:pStyle w:val="TableText"/>
              <w:ind w:left="1701"/>
              <w:spacing w:before="131" w:line="222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5"/>
              </w:rPr>
              <w:t>奖励级别</w:t>
            </w:r>
          </w:p>
        </w:tc>
        <w:tc>
          <w:tcPr>
            <w:tcW w:w="4311" w:type="dxa"/>
            <w:vAlign w:val="top"/>
          </w:tcPr>
          <w:p>
            <w:pPr>
              <w:pStyle w:val="TableText"/>
              <w:ind w:left="1925"/>
              <w:spacing w:before="130" w:line="224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加分</w:t>
            </w:r>
          </w:p>
        </w:tc>
      </w:tr>
      <w:tr>
        <w:trPr>
          <w:trHeight w:val="495" w:hRule="atLeast"/>
        </w:trPr>
        <w:tc>
          <w:tcPr>
            <w:tcW w:w="4328" w:type="dxa"/>
            <w:vAlign w:val="top"/>
          </w:tcPr>
          <w:p>
            <w:pPr>
              <w:pStyle w:val="TableText"/>
              <w:ind w:left="1726"/>
              <w:spacing w:before="127" w:line="221" w:lineRule="auto"/>
              <w:rPr/>
            </w:pPr>
            <w:r>
              <w:rPr>
                <w:spacing w:val="-11"/>
              </w:rPr>
              <w:t>国审品种</w:t>
            </w:r>
          </w:p>
        </w:tc>
        <w:tc>
          <w:tcPr>
            <w:tcW w:w="4311" w:type="dxa"/>
            <w:vAlign w:val="top"/>
          </w:tcPr>
          <w:p>
            <w:pPr>
              <w:pStyle w:val="TableText"/>
              <w:ind w:left="191"/>
              <w:spacing w:before="126" w:line="222" w:lineRule="auto"/>
              <w:rPr/>
            </w:pPr>
            <w:r>
              <w:rPr>
                <w:spacing w:val="-2"/>
              </w:rPr>
              <w:t>前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6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名依次加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8、7、6、5、4、3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分</w:t>
            </w:r>
          </w:p>
        </w:tc>
      </w:tr>
      <w:tr>
        <w:trPr>
          <w:trHeight w:val="500" w:hRule="atLeast"/>
        </w:trPr>
        <w:tc>
          <w:tcPr>
            <w:tcW w:w="4328" w:type="dxa"/>
            <w:vAlign w:val="top"/>
          </w:tcPr>
          <w:p>
            <w:pPr>
              <w:pStyle w:val="TableText"/>
              <w:ind w:left="886"/>
              <w:spacing w:before="128" w:line="221" w:lineRule="auto"/>
              <w:rPr/>
            </w:pPr>
            <w:r>
              <w:rPr>
                <w:spacing w:val="-4"/>
              </w:rPr>
              <w:t>国家登记品种、省审品种</w:t>
            </w:r>
          </w:p>
        </w:tc>
        <w:tc>
          <w:tcPr>
            <w:tcW w:w="4311" w:type="dxa"/>
            <w:vAlign w:val="top"/>
          </w:tcPr>
          <w:p>
            <w:pPr>
              <w:pStyle w:val="TableText"/>
              <w:ind w:left="551"/>
              <w:spacing w:before="128" w:line="222" w:lineRule="auto"/>
              <w:rPr/>
            </w:pPr>
            <w:r>
              <w:rPr>
                <w:spacing w:val="-3"/>
              </w:rPr>
              <w:t>前</w:t>
            </w:r>
            <w:r>
              <w:rPr>
                <w:spacing w:val="-3"/>
              </w:rPr>
              <w:t xml:space="preserve"> </w:t>
            </w:r>
            <w:r>
              <w:rPr>
                <w:spacing w:val="-3"/>
              </w:rPr>
              <w:t>4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名依次加</w:t>
            </w:r>
            <w:r>
              <w:rPr>
                <w:spacing w:val="-3"/>
              </w:rPr>
              <w:t xml:space="preserve"> </w:t>
            </w:r>
            <w:r>
              <w:rPr>
                <w:spacing w:val="-3"/>
              </w:rPr>
              <w:t>5、4、3、2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分</w:t>
            </w:r>
          </w:p>
        </w:tc>
      </w:tr>
    </w:tbl>
    <w:p>
      <w:pPr>
        <w:pStyle w:val="BodyText"/>
        <w:ind w:left="133" w:right="235" w:firstLine="605"/>
        <w:spacing w:before="256" w:line="394" w:lineRule="auto"/>
        <w:jc w:val="both"/>
        <w:rPr/>
      </w:pPr>
      <w:r>
        <w:rPr/>
        <w:t>（三）学校规定修业年限内，因国家和单位</w:t>
      </w:r>
      <w:r>
        <w:rPr>
          <w:spacing w:val="-1"/>
        </w:rPr>
        <w:t>公派出国留学或</w:t>
      </w:r>
      <w:r>
        <w:rPr/>
        <w:t xml:space="preserve"> </w:t>
      </w:r>
      <w:r>
        <w:rPr/>
        <w:t>校际交流在境外学习的研究生，仍具备研究生袁隆平追梦奖</w:t>
      </w:r>
      <w:r>
        <w:rPr>
          <w:spacing w:val="-1"/>
        </w:rPr>
        <w:t>学金</w:t>
      </w:r>
      <w:r>
        <w:rPr/>
        <w:t xml:space="preserve"> </w:t>
      </w:r>
      <w:r>
        <w:rPr/>
        <w:t>参评资格；但由于因私出国留学、疾病、创业等原因未在校</w:t>
      </w:r>
      <w:r>
        <w:rPr>
          <w:spacing w:val="-1"/>
        </w:rPr>
        <w:t>学习</w:t>
      </w:r>
    </w:p>
    <w:p>
      <w:pPr>
        <w:pStyle w:val="BodyText"/>
        <w:spacing w:line="222" w:lineRule="auto"/>
        <w:jc w:val="right"/>
        <w:rPr/>
      </w:pPr>
      <w:r>
        <w:rPr>
          <w:spacing w:val="-3"/>
        </w:rPr>
        <w:t>的研究生，期内原则上不具备研究生袁隆平追梦奖学金参评资格。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738"/>
        <w:spacing w:before="98" w:line="638" w:lineRule="exact"/>
        <w:rPr/>
      </w:pPr>
      <w:r>
        <w:rPr>
          <w:position w:val="25"/>
        </w:rPr>
        <w:t>（四）出现以下任一情况，不具备当年袁隆</w:t>
      </w:r>
      <w:r>
        <w:rPr>
          <w:spacing w:val="-1"/>
          <w:position w:val="25"/>
        </w:rPr>
        <w:t>平追梦奖学金的</w:t>
      </w:r>
    </w:p>
    <w:p>
      <w:pPr>
        <w:pStyle w:val="BodyText"/>
        <w:ind w:left="138"/>
        <w:spacing w:before="1" w:line="222" w:lineRule="auto"/>
        <w:rPr/>
      </w:pPr>
      <w:r>
        <w:rPr>
          <w:spacing w:val="-5"/>
        </w:rPr>
        <w:t>参评资格：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748"/>
        <w:spacing w:before="98" w:line="219" w:lineRule="auto"/>
        <w:rPr/>
      </w:pPr>
      <w:r>
        <w:rPr>
          <w:rFonts w:ascii="Times New Roman" w:hAnsi="Times New Roman" w:eastAsia="Times New Roman" w:cs="Times New Roman"/>
          <w:spacing w:val="-2"/>
        </w:rPr>
        <w:t>1.</w:t>
      </w:r>
      <w:r>
        <w:rPr>
          <w:spacing w:val="-2"/>
        </w:rPr>
        <w:t>在学校规定时间内未完成学籍注册手续者；</w:t>
      </w:r>
    </w:p>
    <w:p>
      <w:pPr>
        <w:spacing w:line="304" w:lineRule="auto"/>
        <w:rPr>
          <w:rFonts w:ascii="Arial"/>
          <w:sz w:val="21"/>
        </w:rPr>
      </w:pPr>
      <w:r/>
    </w:p>
    <w:p>
      <w:pPr>
        <w:pStyle w:val="BodyText"/>
        <w:ind w:left="719"/>
        <w:spacing w:before="98" w:line="639" w:lineRule="exact"/>
        <w:rPr/>
      </w:pPr>
      <w:r>
        <w:rPr>
          <w:rFonts w:ascii="Times New Roman" w:hAnsi="Times New Roman" w:eastAsia="Times New Roman" w:cs="Times New Roman"/>
          <w:spacing w:val="2"/>
          <w:position w:val="25"/>
        </w:rPr>
        <w:t>2.</w:t>
      </w:r>
      <w:r>
        <w:rPr>
          <w:rFonts w:ascii="Times New Roman" w:hAnsi="Times New Roman" w:eastAsia="Times New Roman" w:cs="Times New Roman"/>
          <w:spacing w:val="-41"/>
          <w:position w:val="25"/>
        </w:rPr>
        <w:t xml:space="preserve"> </w:t>
      </w:r>
      <w:r>
        <w:rPr>
          <w:spacing w:val="2"/>
          <w:position w:val="25"/>
        </w:rPr>
        <w:t>学术研究中违反学术道德行为或在奖学金申请材料中</w:t>
      </w:r>
      <w:r>
        <w:rPr>
          <w:spacing w:val="1"/>
          <w:position w:val="25"/>
        </w:rPr>
        <w:t>弄虚</w:t>
      </w:r>
    </w:p>
    <w:p>
      <w:pPr>
        <w:pStyle w:val="BodyText"/>
        <w:ind w:left="138"/>
        <w:spacing w:line="220" w:lineRule="auto"/>
        <w:rPr/>
      </w:pPr>
      <w:r>
        <w:rPr>
          <w:spacing w:val="-7"/>
        </w:rPr>
        <w:t>作假者；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pStyle w:val="BodyText"/>
        <w:ind w:left="725"/>
        <w:spacing w:before="98" w:line="761" w:lineRule="exact"/>
        <w:rPr/>
      </w:pPr>
      <w:r>
        <w:rPr>
          <w:rFonts w:ascii="Times New Roman" w:hAnsi="Times New Roman" w:eastAsia="Times New Roman" w:cs="Times New Roman"/>
          <w:spacing w:val="-1"/>
          <w:position w:val="35"/>
        </w:rPr>
        <w:t>3.</w:t>
      </w:r>
      <w:r>
        <w:rPr>
          <w:spacing w:val="-1"/>
          <w:position w:val="35"/>
        </w:rPr>
        <w:t>有抄袭剽窃、弄虚作假等学术不端行为经查证属实者；</w:t>
      </w:r>
    </w:p>
    <w:p>
      <w:pPr>
        <w:pStyle w:val="BodyText"/>
        <w:ind w:left="718"/>
        <w:spacing w:line="220" w:lineRule="auto"/>
        <w:rPr/>
      </w:pPr>
      <w:r>
        <w:rPr>
          <w:rFonts w:ascii="Times New Roman" w:hAnsi="Times New Roman" w:eastAsia="Times New Roman" w:cs="Times New Roman"/>
          <w:spacing w:val="-1"/>
        </w:rPr>
        <w:t>4.</w:t>
      </w:r>
      <w:r>
        <w:rPr>
          <w:spacing w:val="-1"/>
        </w:rPr>
        <w:t>学籍状态处于休学、保留学籍者；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pStyle w:val="BodyText"/>
        <w:ind w:left="727"/>
        <w:spacing w:before="98" w:line="761" w:lineRule="exact"/>
        <w:rPr/>
      </w:pPr>
      <w:r>
        <w:rPr>
          <w:rFonts w:ascii="Times New Roman" w:hAnsi="Times New Roman" w:eastAsia="Times New Roman" w:cs="Times New Roman"/>
          <w:spacing w:val="-1"/>
          <w:position w:val="35"/>
        </w:rPr>
        <w:t>5.</w:t>
      </w:r>
      <w:r>
        <w:rPr>
          <w:spacing w:val="-1"/>
          <w:position w:val="35"/>
        </w:rPr>
        <w:t>无集体组织观念、未按研究生培养要求参加学术活动者；</w:t>
      </w:r>
    </w:p>
    <w:p>
      <w:pPr>
        <w:pStyle w:val="BodyText"/>
        <w:ind w:left="726"/>
        <w:spacing w:before="1" w:line="221" w:lineRule="auto"/>
        <w:rPr/>
      </w:pPr>
      <w:r>
        <w:rPr>
          <w:rFonts w:ascii="Times New Roman" w:hAnsi="Times New Roman" w:eastAsia="Times New Roman" w:cs="Times New Roman"/>
          <w:spacing w:val="-2"/>
        </w:rPr>
        <w:t>6.</w:t>
      </w:r>
      <w:r>
        <w:rPr>
          <w:spacing w:val="-2"/>
        </w:rPr>
        <w:t>学年内课程考试不及格者。</w:t>
      </w:r>
    </w:p>
    <w:p>
      <w:pPr>
        <w:spacing w:line="221" w:lineRule="auto"/>
        <w:sectPr>
          <w:pgSz w:w="11906" w:h="16840"/>
          <w:pgMar w:top="1431" w:right="1549" w:bottom="0" w:left="1588" w:header="0" w:footer="0" w:gutter="0"/>
        </w:sectPr>
        <w:rPr/>
      </w:pP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3095"/>
        <w:spacing w:before="97" w:line="222" w:lineRule="auto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第三章</w:t>
      </w:r>
      <w:r>
        <w:rPr>
          <w:spacing w:val="42"/>
        </w:rPr>
        <w:t xml:space="preserve"> </w:t>
      </w: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资金拨付</w:t>
      </w:r>
    </w:p>
    <w:p>
      <w:pPr>
        <w:spacing w:line="329" w:lineRule="auto"/>
        <w:rPr>
          <w:rFonts w:ascii="Arial"/>
          <w:sz w:val="21"/>
        </w:rPr>
      </w:pPr>
      <w:r/>
    </w:p>
    <w:p>
      <w:pPr>
        <w:spacing w:line="330" w:lineRule="auto"/>
        <w:rPr>
          <w:rFonts w:ascii="Arial"/>
          <w:sz w:val="21"/>
        </w:rPr>
      </w:pPr>
      <w:r/>
    </w:p>
    <w:p>
      <w:pPr>
        <w:pStyle w:val="BodyText"/>
        <w:ind w:left="616"/>
        <w:spacing w:before="98" w:line="222" w:lineRule="auto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第八条</w:t>
      </w:r>
      <w:r>
        <w:rPr>
          <w:spacing w:val="-2"/>
        </w:rPr>
        <w:t xml:space="preserve"> </w:t>
      </w:r>
      <w:r>
        <w:rPr>
          <w:spacing w:val="-2"/>
        </w:rPr>
        <w:t>每个资金拨付年</w:t>
      </w:r>
      <w:r>
        <w:rPr>
          <w:rFonts w:ascii="Times New Roman" w:hAnsi="Times New Roman" w:eastAsia="Times New Roman" w:cs="Times New Roman"/>
          <w:spacing w:val="-2"/>
        </w:rPr>
        <w:t>8</w:t>
      </w:r>
      <w:r>
        <w:rPr>
          <w:spacing w:val="-2"/>
        </w:rPr>
        <w:t>月前拨付资金。</w:t>
      </w:r>
    </w:p>
    <w:p>
      <w:pPr>
        <w:spacing w:line="331" w:lineRule="auto"/>
        <w:rPr>
          <w:rFonts w:ascii="Arial"/>
          <w:sz w:val="21"/>
        </w:rPr>
      </w:pPr>
      <w:r/>
    </w:p>
    <w:p>
      <w:pPr>
        <w:spacing w:line="331" w:lineRule="auto"/>
        <w:rPr>
          <w:rFonts w:ascii="Arial"/>
          <w:sz w:val="21"/>
        </w:rPr>
      </w:pPr>
      <w:r/>
    </w:p>
    <w:p>
      <w:pPr>
        <w:pStyle w:val="BodyText"/>
        <w:ind w:left="3095"/>
        <w:spacing w:before="97" w:line="222" w:lineRule="auto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第四章</w:t>
      </w:r>
      <w:r>
        <w:rPr>
          <w:spacing w:val="22"/>
        </w:rPr>
        <w:t xml:space="preserve"> </w:t>
      </w: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评审组织</w:t>
      </w:r>
    </w:p>
    <w:p>
      <w:pPr>
        <w:spacing w:line="329" w:lineRule="auto"/>
        <w:rPr>
          <w:rFonts w:ascii="Arial"/>
          <w:sz w:val="21"/>
        </w:rPr>
      </w:pPr>
      <w:r/>
    </w:p>
    <w:p>
      <w:pPr>
        <w:spacing w:line="329" w:lineRule="auto"/>
        <w:rPr>
          <w:rFonts w:ascii="Arial"/>
          <w:sz w:val="21"/>
        </w:rPr>
      </w:pPr>
      <w:r/>
    </w:p>
    <w:p>
      <w:pPr>
        <w:pStyle w:val="BodyText"/>
        <w:ind w:firstLine="616"/>
        <w:spacing w:before="97" w:line="394" w:lineRule="auto"/>
        <w:jc w:val="both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第九条</w:t>
      </w:r>
      <w:r>
        <w:rPr>
          <w:spacing w:val="-9"/>
        </w:rPr>
        <w:t xml:space="preserve"> </w:t>
      </w:r>
      <w:r>
        <w:rPr>
          <w:spacing w:val="-9"/>
        </w:rPr>
        <w:t>为加强“袁隆平追梦奖学金</w:t>
      </w:r>
      <w:r>
        <w:rPr>
          <w:spacing w:val="-110"/>
        </w:rPr>
        <w:t xml:space="preserve"> </w:t>
      </w:r>
      <w:r>
        <w:rPr>
          <w:spacing w:val="-9"/>
        </w:rPr>
        <w:t>”的项目管理</w:t>
      </w:r>
      <w:r>
        <w:rPr>
          <w:spacing w:val="-10"/>
        </w:rPr>
        <w:t>，确保规范、</w:t>
      </w:r>
      <w:r>
        <w:rPr/>
        <w:t xml:space="preserve"> </w:t>
      </w:r>
      <w:r>
        <w:rPr>
          <w:spacing w:val="-5"/>
        </w:rPr>
        <w:t>有效实施，基金会成立“袁隆平追梦奖学金</w:t>
      </w:r>
      <w:r>
        <w:rPr>
          <w:spacing w:val="-93"/>
        </w:rPr>
        <w:t xml:space="preserve"> </w:t>
      </w:r>
      <w:r>
        <w:rPr>
          <w:spacing w:val="-5"/>
        </w:rPr>
        <w:t>”管理委员会，</w:t>
      </w:r>
      <w:r>
        <w:rPr>
          <w:spacing w:val="-89"/>
        </w:rPr>
        <w:t xml:space="preserve"> </w:t>
      </w:r>
      <w:r>
        <w:rPr>
          <w:spacing w:val="-5"/>
        </w:rPr>
        <w:t>由基</w:t>
      </w:r>
      <w:r>
        <w:rPr>
          <w:spacing w:val="-5"/>
        </w:rPr>
        <w:t xml:space="preserve">  </w:t>
      </w:r>
      <w:r>
        <w:rPr>
          <w:spacing w:val="-1"/>
        </w:rPr>
        <w:t>金会、专委会派员组成。管委会负责参评高校的申请和审核、项</w:t>
      </w:r>
      <w:r>
        <w:rPr>
          <w:spacing w:val="-2"/>
        </w:rPr>
        <w:t xml:space="preserve">  </w:t>
      </w:r>
      <w:r>
        <w:rPr>
          <w:spacing w:val="-1"/>
        </w:rPr>
        <w:t>目的管理和实施监督，管委会下设评审委员会和评审办公室。评</w:t>
      </w:r>
      <w:r>
        <w:rPr>
          <w:spacing w:val="-2"/>
        </w:rPr>
        <w:t xml:space="preserve">  </w:t>
      </w:r>
      <w:r>
        <w:rPr/>
        <w:t>审委员会负责评审专家组组建和奖学金评审过程；评审办公室负</w:t>
      </w:r>
    </w:p>
    <w:p>
      <w:pPr>
        <w:pStyle w:val="BodyText"/>
        <w:ind w:left="5"/>
        <w:spacing w:line="220" w:lineRule="auto"/>
        <w:rPr/>
      </w:pPr>
      <w:r>
        <w:rPr>
          <w:spacing w:val="-2"/>
        </w:rPr>
        <w:t>责项目的推动和学校的组织工作。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4" w:right="247" w:firstLine="611"/>
        <w:spacing w:before="98" w:line="369" w:lineRule="auto"/>
        <w:rPr/>
      </w:pPr>
      <w:r>
        <w:rPr>
          <w14:textOutline w14:w="5448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第十条</w:t>
      </w:r>
      <w:r>
        <w:rPr>
          <w:spacing w:val="-6"/>
        </w:rPr>
        <w:t xml:space="preserve"> </w:t>
      </w:r>
      <w:r>
        <w:rPr>
          <w:spacing w:val="-6"/>
        </w:rPr>
        <w:t>评审专家组分为本科生评审组和研究生评审组</w:t>
      </w:r>
      <w:r>
        <w:rPr>
          <w:spacing w:val="-7"/>
        </w:rPr>
        <w:t>。其中</w:t>
      </w:r>
      <w:r>
        <w:rPr/>
        <w:t xml:space="preserve"> </w:t>
      </w:r>
      <w:r>
        <w:rPr/>
        <w:t>获得奖学金的本科生由学校等额初评，学校递交本科生评</w:t>
      </w:r>
      <w:r>
        <w:rPr>
          <w:spacing w:val="-1"/>
        </w:rPr>
        <w:t>审组函</w:t>
      </w:r>
      <w:r>
        <w:rPr/>
        <w:t xml:space="preserve"> </w:t>
      </w:r>
      <w:r>
        <w:rPr>
          <w:spacing w:val="-1"/>
        </w:rPr>
        <w:t>评审定；获得奖学金的研究生按照1:2的差额由学校提名候选人</w:t>
      </w:r>
      <w:r>
        <w:rPr>
          <w:spacing w:val="3"/>
        </w:rPr>
        <w:t xml:space="preserve">  </w:t>
      </w:r>
      <w:r>
        <w:rPr>
          <w:spacing w:val="-3"/>
        </w:rPr>
        <w:t>,</w:t>
      </w:r>
      <w:r>
        <w:rPr>
          <w:spacing w:val="82"/>
        </w:rPr>
        <w:t xml:space="preserve"> </w:t>
      </w:r>
      <w:r>
        <w:rPr>
          <w:spacing w:val="-3"/>
        </w:rPr>
        <w:t>报送研究生评审组函评确定得奖人；“博士生科研创</w:t>
      </w:r>
      <w:r>
        <w:rPr>
          <w:spacing w:val="-4"/>
        </w:rPr>
        <w:t>新奖”由</w:t>
      </w:r>
    </w:p>
    <w:p>
      <w:pPr>
        <w:pStyle w:val="BodyText"/>
        <w:ind w:left="2"/>
        <w:spacing w:before="2" w:line="220" w:lineRule="auto"/>
        <w:rPr/>
      </w:pPr>
      <w:r>
        <w:rPr>
          <w:spacing w:val="-2"/>
        </w:rPr>
        <w:t>研究生评审组进行现场会评。</w:t>
      </w:r>
    </w:p>
    <w:p>
      <w:pPr>
        <w:spacing w:line="463" w:lineRule="auto"/>
        <w:rPr>
          <w:rFonts w:ascii="Arial"/>
          <w:sz w:val="21"/>
        </w:rPr>
      </w:pPr>
      <w:r/>
    </w:p>
    <w:p>
      <w:pPr>
        <w:pStyle w:val="BodyText"/>
        <w:ind w:left="3" w:right="247" w:firstLine="612"/>
        <w:spacing w:before="98" w:line="394" w:lineRule="auto"/>
        <w:jc w:val="both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第十一条</w:t>
      </w:r>
      <w:r>
        <w:rPr>
          <w:spacing w:val="-6"/>
        </w:rPr>
        <w:t xml:space="preserve"> </w:t>
      </w:r>
      <w:r>
        <w:rPr>
          <w:spacing w:val="-6"/>
        </w:rPr>
        <w:t>评审办公室由评审领导小组和工作小组组成</w:t>
      </w:r>
      <w:r>
        <w:rPr>
          <w:spacing w:val="-7"/>
        </w:rPr>
        <w:t>。领导</w:t>
      </w:r>
      <w:r>
        <w:rPr/>
        <w:t xml:space="preserve"> </w:t>
      </w:r>
      <w:r>
        <w:rPr/>
        <w:t>小组由参评高校农学院院长、书记组成，工作小组由参评高</w:t>
      </w:r>
      <w:r>
        <w:rPr>
          <w:spacing w:val="-1"/>
        </w:rPr>
        <w:t>校农</w:t>
      </w:r>
      <w:r>
        <w:rPr/>
        <w:t xml:space="preserve"> </w:t>
      </w:r>
      <w:r>
        <w:rPr/>
        <w:t>学院分管奖学金评选工作的农学院院领导、奖学金项目在本</w:t>
      </w:r>
      <w:r>
        <w:rPr>
          <w:spacing w:val="-1"/>
        </w:rPr>
        <w:t>校落</w:t>
      </w:r>
    </w:p>
    <w:p>
      <w:pPr>
        <w:pStyle w:val="BodyText"/>
        <w:ind w:left="4"/>
        <w:spacing w:line="222" w:lineRule="auto"/>
        <w:rPr/>
      </w:pPr>
      <w:r>
        <w:rPr>
          <w:spacing w:val="-2"/>
        </w:rPr>
        <w:t>地的负责人和基金会奖学金项目成员组成。</w:t>
      </w:r>
    </w:p>
    <w:p>
      <w:pPr>
        <w:spacing w:line="222" w:lineRule="auto"/>
        <w:sectPr>
          <w:pgSz w:w="11906" w:h="16840"/>
          <w:pgMar w:top="1431" w:right="1538" w:bottom="0" w:left="1718" w:header="0" w:footer="0" w:gutter="0"/>
        </w:sectPr>
        <w:rPr/>
      </w:pPr>
    </w:p>
    <w:p>
      <w:pPr>
        <w:pStyle w:val="BodyText"/>
        <w:ind w:left="612"/>
        <w:spacing w:before="255" w:line="639" w:lineRule="exact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25"/>
        </w:rPr>
        <w:t>第十二条</w:t>
      </w:r>
      <w:r>
        <w:rPr>
          <w:spacing w:val="5"/>
          <w:position w:val="25"/>
        </w:rPr>
        <w:t xml:space="preserve"> </w:t>
      </w:r>
      <w:r>
        <w:rPr>
          <w:spacing w:val="5"/>
          <w:position w:val="25"/>
        </w:rPr>
        <w:t>参评院校应建立健全本校袁隆平追梦奖学金评审</w:t>
      </w:r>
    </w:p>
    <w:p>
      <w:pPr>
        <w:pStyle w:val="BodyText"/>
        <w:ind w:left="6"/>
        <w:spacing w:line="220" w:lineRule="auto"/>
        <w:rPr/>
      </w:pPr>
      <w:r>
        <w:rPr>
          <w:spacing w:val="-1"/>
        </w:rPr>
        <w:t>奖励办法，制定评审依据及实施细则，并提交管委会审定通过。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pStyle w:val="BodyText"/>
        <w:ind w:left="612"/>
        <w:spacing w:before="98" w:line="640" w:lineRule="exact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6"/>
          <w:position w:val="25"/>
        </w:rPr>
        <w:t>第十三条</w:t>
      </w:r>
      <w:r>
        <w:rPr>
          <w:spacing w:val="-6"/>
          <w:position w:val="25"/>
        </w:rPr>
        <w:t xml:space="preserve"> </w:t>
      </w:r>
      <w:r>
        <w:rPr>
          <w:spacing w:val="-6"/>
          <w:position w:val="25"/>
        </w:rPr>
        <w:t>奖学金的评审工作，应坚持公开、公平、公正、择</w:t>
      </w:r>
    </w:p>
    <w:p>
      <w:pPr>
        <w:pStyle w:val="BodyText"/>
        <w:spacing w:line="222" w:lineRule="auto"/>
        <w:rPr/>
      </w:pPr>
      <w:r>
        <w:rPr>
          <w:spacing w:val="-4"/>
        </w:rPr>
        <w:t>优的原则。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9" w:firstLine="603"/>
        <w:spacing w:before="98" w:line="394" w:lineRule="auto"/>
        <w:jc w:val="both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第十四条</w:t>
      </w:r>
      <w:r>
        <w:rPr>
          <w:spacing w:val="-7"/>
        </w:rPr>
        <w:t xml:space="preserve"> </w:t>
      </w:r>
      <w:r>
        <w:rPr>
          <w:spacing w:val="-7"/>
        </w:rPr>
        <w:t>参评院校对于本校获奖学生候选名单，和评审委员</w:t>
      </w:r>
      <w:r>
        <w:rPr>
          <w:spacing w:val="-7"/>
        </w:rPr>
        <w:t xml:space="preserve">  </w:t>
      </w:r>
      <w:r>
        <w:rPr>
          <w:spacing w:val="-7"/>
        </w:rPr>
        <w:t>会评定的最终获奖名单，均需在本校进行不少于</w:t>
      </w:r>
      <w:r>
        <w:rPr>
          <w:rFonts w:ascii="Times New Roman" w:hAnsi="Times New Roman" w:eastAsia="Times New Roman" w:cs="Times New Roman"/>
          <w:spacing w:val="-7"/>
        </w:rPr>
        <w:t>5</w:t>
      </w:r>
      <w:r>
        <w:rPr>
          <w:spacing w:val="-7"/>
        </w:rPr>
        <w:t>个工作日的公示。</w:t>
      </w:r>
    </w:p>
    <w:p>
      <w:pPr>
        <w:pStyle w:val="BodyText"/>
        <w:ind w:left="8"/>
        <w:spacing w:before="1" w:line="220" w:lineRule="auto"/>
        <w:rPr/>
      </w:pPr>
      <w:r>
        <w:rPr>
          <w:spacing w:val="-2"/>
        </w:rPr>
        <w:t>最终获奖名单统一报基金会审批决议。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spacing w:before="98" w:line="641" w:lineRule="exact"/>
        <w:jc w:val="right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8"/>
          <w:position w:val="25"/>
        </w:rPr>
        <w:t>第十五条</w:t>
      </w:r>
      <w:r>
        <w:rPr>
          <w:spacing w:val="-8"/>
          <w:position w:val="25"/>
        </w:rPr>
        <w:t xml:space="preserve"> </w:t>
      </w:r>
      <w:r>
        <w:rPr>
          <w:spacing w:val="-8"/>
          <w:position w:val="25"/>
        </w:rPr>
        <w:t>如参评材料涉嫌剽窃等行为，基金</w:t>
      </w:r>
      <w:r>
        <w:rPr>
          <w:spacing w:val="-9"/>
          <w:position w:val="25"/>
        </w:rPr>
        <w:t>会有权撤销名誉，</w:t>
      </w:r>
    </w:p>
    <w:p>
      <w:pPr>
        <w:pStyle w:val="BodyText"/>
        <w:ind w:left="16"/>
        <w:spacing w:line="220" w:lineRule="auto"/>
        <w:rPr/>
      </w:pPr>
      <w:r>
        <w:rPr>
          <w:spacing w:val="-3"/>
        </w:rPr>
        <w:t>收回奖学金，并通过媒体予以曝光。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pStyle w:val="BodyText"/>
        <w:ind w:left="612"/>
        <w:spacing w:before="98" w:line="639" w:lineRule="exact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25"/>
        </w:rPr>
        <w:t>第十六条</w:t>
      </w:r>
      <w:r>
        <w:rPr>
          <w:spacing w:val="5"/>
          <w:position w:val="25"/>
        </w:rPr>
        <w:t xml:space="preserve"> </w:t>
      </w:r>
      <w:r>
        <w:rPr>
          <w:spacing w:val="5"/>
          <w:position w:val="25"/>
        </w:rPr>
        <w:t>各参评院校配合基金会做好袁隆平追梦奖学金在</w:t>
      </w:r>
    </w:p>
    <w:p>
      <w:pPr>
        <w:pStyle w:val="BodyText"/>
        <w:ind w:left="12"/>
        <w:spacing w:before="1" w:line="221" w:lineRule="auto"/>
        <w:rPr/>
      </w:pPr>
      <w:r>
        <w:rPr>
          <w:spacing w:val="-5"/>
        </w:rPr>
        <w:t>学校的落地宣推。</w:t>
      </w:r>
    </w:p>
    <w:p>
      <w:pPr>
        <w:spacing w:line="331" w:lineRule="auto"/>
        <w:rPr>
          <w:rFonts w:ascii="Arial"/>
          <w:sz w:val="21"/>
        </w:rPr>
      </w:pPr>
      <w:r/>
    </w:p>
    <w:p>
      <w:pPr>
        <w:spacing w:line="331" w:lineRule="auto"/>
        <w:rPr>
          <w:rFonts w:ascii="Arial"/>
          <w:sz w:val="21"/>
        </w:rPr>
      </w:pPr>
      <w:r/>
    </w:p>
    <w:p>
      <w:pPr>
        <w:pStyle w:val="BodyText"/>
        <w:ind w:left="3392"/>
        <w:spacing w:before="97" w:line="222" w:lineRule="auto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3"/>
        </w:rPr>
        <w:t>第五章</w:t>
      </w:r>
      <w:r>
        <w:rPr>
          <w:spacing w:val="34"/>
        </w:rPr>
        <w:t xml:space="preserve"> </w:t>
      </w: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3"/>
        </w:rPr>
        <w:t>附则</w:t>
      </w:r>
    </w:p>
    <w:p>
      <w:pPr>
        <w:spacing w:line="330" w:lineRule="auto"/>
        <w:rPr>
          <w:rFonts w:ascii="Arial"/>
          <w:sz w:val="21"/>
        </w:rPr>
      </w:pPr>
      <w:r/>
    </w:p>
    <w:p>
      <w:pPr>
        <w:spacing w:line="330" w:lineRule="auto"/>
        <w:rPr>
          <w:rFonts w:ascii="Arial"/>
          <w:sz w:val="21"/>
        </w:rPr>
      </w:pPr>
      <w:r/>
    </w:p>
    <w:p>
      <w:pPr>
        <w:pStyle w:val="BodyText"/>
        <w:ind w:left="612"/>
        <w:spacing w:before="98" w:line="220" w:lineRule="auto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第十七条</w:t>
      </w:r>
      <w:r>
        <w:rPr>
          <w:spacing w:val="-2"/>
        </w:rPr>
        <w:t xml:space="preserve"> </w:t>
      </w:r>
      <w:r>
        <w:rPr>
          <w:spacing w:val="-2"/>
        </w:rPr>
        <w:t>本办法自发布之日起执行。</w:t>
      </w:r>
    </w:p>
    <w:p>
      <w:pPr>
        <w:spacing w:line="304" w:lineRule="auto"/>
        <w:rPr>
          <w:rFonts w:ascii="Arial"/>
          <w:sz w:val="21"/>
        </w:rPr>
      </w:pPr>
      <w:r/>
    </w:p>
    <w:p>
      <w:pPr>
        <w:pStyle w:val="BodyText"/>
        <w:ind w:left="612"/>
        <w:spacing w:before="98" w:line="222" w:lineRule="auto"/>
        <w:rPr/>
      </w:pPr>
      <w:r>
        <w:rPr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第十八条</w:t>
      </w:r>
      <w:r>
        <w:rPr>
          <w:spacing w:val="-1"/>
        </w:rPr>
        <w:t xml:space="preserve"> </w:t>
      </w:r>
      <w:r>
        <w:rPr>
          <w:spacing w:val="-1"/>
        </w:rPr>
        <w:t>本办法由袁隆平农业科技奖励基金会</w:t>
      </w:r>
      <w:r>
        <w:rPr>
          <w:spacing w:val="-2"/>
        </w:rPr>
        <w:t>负责解释。</w:t>
      </w:r>
    </w:p>
    <w:sectPr>
      <w:pgSz w:w="11906" w:h="16840"/>
      <w:pgMar w:top="1431" w:right="1530" w:bottom="0" w:left="172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0"/>
      <w:szCs w:val="3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2023-08-07T09:46:06Z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2023-09-29T16:47:16</vt:filetime>
  </property>
</Properties>
</file>